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B39FDC" w14:textId="77777777" w:rsidR="002067DD" w:rsidRPr="002067DD" w:rsidRDefault="002067DD" w:rsidP="00205F2F">
      <w:pPr>
        <w:rPr>
          <w:rFonts w:asciiTheme="majorHAnsi" w:hAnsiTheme="majorHAnsi" w:cstheme="majorHAnsi"/>
          <w:b/>
        </w:rPr>
      </w:pPr>
    </w:p>
    <w:p w14:paraId="79DCC6E5" w14:textId="1C912135" w:rsidR="00862E03" w:rsidRPr="002067DD" w:rsidRDefault="0068586A" w:rsidP="00205F2F">
      <w:pPr>
        <w:rPr>
          <w:rFonts w:asciiTheme="majorHAnsi" w:hAnsiTheme="majorHAnsi" w:cstheme="majorHAnsi"/>
          <w:b/>
        </w:rPr>
      </w:pPr>
      <w:r w:rsidRPr="002067DD">
        <w:rPr>
          <w:rFonts w:asciiTheme="majorHAnsi" w:hAnsiTheme="majorHAnsi" w:cstheme="majorHAnsi"/>
          <w:b/>
          <w:noProof/>
        </w:rPr>
        <w:drawing>
          <wp:anchor distT="0" distB="0" distL="114300" distR="114300" simplePos="0" relativeHeight="251658240" behindDoc="0" locked="0" layoutInCell="1" allowOverlap="1" wp14:anchorId="17F75E6D" wp14:editId="07772837">
            <wp:simplePos x="0" y="0"/>
            <wp:positionH relativeFrom="margin">
              <wp:align>center</wp:align>
            </wp:positionH>
            <wp:positionV relativeFrom="paragraph">
              <wp:posOffset>14605</wp:posOffset>
            </wp:positionV>
            <wp:extent cx="4017047" cy="2107267"/>
            <wp:effectExtent l="0" t="0" r="2540"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AN-twitter_crop.png"/>
                    <pic:cNvPicPr/>
                  </pic:nvPicPr>
                  <pic:blipFill>
                    <a:blip r:embed="rId11">
                      <a:extLst>
                        <a:ext uri="{28A0092B-C50C-407E-A947-70E740481C1C}">
                          <a14:useLocalDpi xmlns:a14="http://schemas.microsoft.com/office/drawing/2010/main" val="0"/>
                        </a:ext>
                      </a:extLst>
                    </a:blip>
                    <a:stretch>
                      <a:fillRect/>
                    </a:stretch>
                  </pic:blipFill>
                  <pic:spPr>
                    <a:xfrm>
                      <a:off x="0" y="0"/>
                      <a:ext cx="4017047" cy="2107267"/>
                    </a:xfrm>
                    <a:prstGeom prst="rect">
                      <a:avLst/>
                    </a:prstGeom>
                  </pic:spPr>
                </pic:pic>
              </a:graphicData>
            </a:graphic>
            <wp14:sizeRelH relativeFrom="page">
              <wp14:pctWidth>0</wp14:pctWidth>
            </wp14:sizeRelH>
            <wp14:sizeRelV relativeFrom="page">
              <wp14:pctHeight>0</wp14:pctHeight>
            </wp14:sizeRelV>
          </wp:anchor>
        </w:drawing>
      </w:r>
    </w:p>
    <w:p w14:paraId="2D647AA8" w14:textId="3BB9DD3E" w:rsidR="00205F2F" w:rsidRPr="002067DD" w:rsidRDefault="00205F2F" w:rsidP="000C16D1">
      <w:pPr>
        <w:pStyle w:val="Lijstalinea"/>
        <w:rPr>
          <w:rFonts w:asciiTheme="majorHAnsi" w:hAnsiTheme="majorHAnsi" w:cstheme="majorHAnsi"/>
          <w:b/>
        </w:rPr>
      </w:pPr>
    </w:p>
    <w:p w14:paraId="600AD43B" w14:textId="38204110" w:rsidR="00205F2F" w:rsidRPr="002067DD" w:rsidRDefault="00205F2F" w:rsidP="000C16D1">
      <w:pPr>
        <w:pStyle w:val="Lijstalinea"/>
        <w:rPr>
          <w:rFonts w:asciiTheme="majorHAnsi" w:hAnsiTheme="majorHAnsi" w:cstheme="majorHAnsi"/>
          <w:b/>
        </w:rPr>
      </w:pPr>
    </w:p>
    <w:p w14:paraId="40176F83" w14:textId="5E1DCB48" w:rsidR="00205F2F" w:rsidRPr="002067DD" w:rsidRDefault="00205F2F" w:rsidP="000C16D1">
      <w:pPr>
        <w:pStyle w:val="Lijstalinea"/>
        <w:rPr>
          <w:rFonts w:asciiTheme="majorHAnsi" w:hAnsiTheme="majorHAnsi" w:cstheme="majorHAnsi"/>
          <w:b/>
        </w:rPr>
      </w:pPr>
    </w:p>
    <w:p w14:paraId="380C6911" w14:textId="617613F8" w:rsidR="00205F2F" w:rsidRPr="002067DD" w:rsidRDefault="00205F2F" w:rsidP="000C16D1">
      <w:pPr>
        <w:pStyle w:val="Lijstalinea"/>
        <w:rPr>
          <w:rFonts w:asciiTheme="majorHAnsi" w:hAnsiTheme="majorHAnsi" w:cstheme="majorHAnsi"/>
          <w:b/>
        </w:rPr>
      </w:pPr>
    </w:p>
    <w:p w14:paraId="382D0B3C" w14:textId="3314C301" w:rsidR="00205F2F" w:rsidRPr="002067DD" w:rsidRDefault="00205F2F" w:rsidP="000C16D1">
      <w:pPr>
        <w:pStyle w:val="Lijstalinea"/>
        <w:rPr>
          <w:rFonts w:asciiTheme="majorHAnsi" w:hAnsiTheme="majorHAnsi" w:cstheme="majorHAnsi"/>
          <w:b/>
        </w:rPr>
      </w:pPr>
    </w:p>
    <w:p w14:paraId="3E89DEC5" w14:textId="4A340A80" w:rsidR="00205F2F" w:rsidRPr="002067DD" w:rsidRDefault="00205F2F" w:rsidP="000C16D1">
      <w:pPr>
        <w:pStyle w:val="Lijstalinea"/>
        <w:rPr>
          <w:rFonts w:asciiTheme="majorHAnsi" w:hAnsiTheme="majorHAnsi" w:cstheme="majorHAnsi"/>
          <w:b/>
        </w:rPr>
      </w:pPr>
    </w:p>
    <w:p w14:paraId="4983AFA9" w14:textId="5BF6B418" w:rsidR="00205F2F" w:rsidRPr="002067DD" w:rsidRDefault="00205F2F" w:rsidP="000C16D1">
      <w:pPr>
        <w:pStyle w:val="Lijstalinea"/>
        <w:rPr>
          <w:rFonts w:asciiTheme="majorHAnsi" w:hAnsiTheme="majorHAnsi" w:cstheme="majorHAnsi"/>
          <w:b/>
        </w:rPr>
      </w:pPr>
    </w:p>
    <w:p w14:paraId="2267E46C" w14:textId="6863D131" w:rsidR="00205F2F" w:rsidRPr="002067DD" w:rsidRDefault="00205F2F" w:rsidP="000C16D1">
      <w:pPr>
        <w:pStyle w:val="Lijstalinea"/>
        <w:rPr>
          <w:rFonts w:asciiTheme="majorHAnsi" w:hAnsiTheme="majorHAnsi" w:cstheme="majorHAnsi"/>
          <w:b/>
        </w:rPr>
      </w:pPr>
    </w:p>
    <w:p w14:paraId="13571BED" w14:textId="0FD719E8" w:rsidR="00205F2F" w:rsidRPr="002067DD" w:rsidRDefault="00205F2F" w:rsidP="000C16D1">
      <w:pPr>
        <w:pStyle w:val="Lijstalinea"/>
        <w:rPr>
          <w:rFonts w:asciiTheme="majorHAnsi" w:hAnsiTheme="majorHAnsi" w:cstheme="majorHAnsi"/>
          <w:b/>
        </w:rPr>
      </w:pPr>
    </w:p>
    <w:p w14:paraId="49D432A2" w14:textId="44901410" w:rsidR="00862E03" w:rsidRDefault="00862E03" w:rsidP="00900697">
      <w:pPr>
        <w:pStyle w:val="Kop2"/>
        <w:rPr>
          <w:rStyle w:val="jsgrdq"/>
          <w:rFonts w:cstheme="majorHAnsi"/>
          <w:sz w:val="36"/>
          <w:szCs w:val="36"/>
        </w:rPr>
      </w:pPr>
    </w:p>
    <w:p w14:paraId="665E9449" w14:textId="77777777" w:rsidR="00700B5C" w:rsidRPr="00700B5C" w:rsidRDefault="00700B5C" w:rsidP="00700B5C"/>
    <w:p w14:paraId="7B6BAC74" w14:textId="46717675" w:rsidR="0068586A" w:rsidRPr="002067DD" w:rsidRDefault="00DF47A8" w:rsidP="007F3C70">
      <w:pPr>
        <w:pStyle w:val="Kop1"/>
        <w:jc w:val="center"/>
        <w:rPr>
          <w:rStyle w:val="jsgrdq"/>
          <w:rFonts w:cstheme="majorHAnsi"/>
          <w:b w:val="0"/>
          <w:color w:val="514898"/>
          <w:sz w:val="52"/>
          <w:szCs w:val="52"/>
          <w:lang w:val="en-US"/>
        </w:rPr>
      </w:pPr>
      <w:r>
        <w:rPr>
          <w:rStyle w:val="jsgrdq"/>
          <w:rFonts w:cstheme="majorHAnsi"/>
          <w:color w:val="514898"/>
          <w:sz w:val="52"/>
          <w:szCs w:val="52"/>
          <w:lang w:val="en-US"/>
        </w:rPr>
        <w:t>Deliverable 2.3.: Draft book chapter for edited volume</w:t>
      </w:r>
    </w:p>
    <w:p w14:paraId="1062C516" w14:textId="43684231" w:rsidR="00900697" w:rsidRPr="00900697" w:rsidRDefault="0068586A" w:rsidP="00900697">
      <w:pPr>
        <w:pStyle w:val="Kop2"/>
        <w:jc w:val="center"/>
        <w:rPr>
          <w:rFonts w:cstheme="majorHAnsi"/>
          <w:sz w:val="36"/>
          <w:szCs w:val="36"/>
          <w:lang w:val="en-US"/>
        </w:rPr>
      </w:pPr>
      <w:r w:rsidRPr="002067DD">
        <w:rPr>
          <w:rStyle w:val="jsgrdq"/>
          <w:rFonts w:cstheme="majorHAnsi"/>
          <w:sz w:val="36"/>
          <w:szCs w:val="36"/>
          <w:lang w:val="en-US"/>
        </w:rPr>
        <w:t>WP</w:t>
      </w:r>
      <w:r w:rsidR="00900697">
        <w:rPr>
          <w:rStyle w:val="jsgrdq"/>
          <w:rFonts w:cstheme="majorHAnsi"/>
          <w:sz w:val="36"/>
          <w:szCs w:val="36"/>
          <w:lang w:val="en-US"/>
        </w:rPr>
        <w:t>2</w:t>
      </w:r>
      <w:r w:rsidRPr="002067DD">
        <w:rPr>
          <w:rStyle w:val="jsgrdq"/>
          <w:rFonts w:cstheme="majorHAnsi"/>
          <w:sz w:val="36"/>
          <w:szCs w:val="36"/>
          <w:lang w:val="en-US"/>
        </w:rPr>
        <w:t xml:space="preserve">: </w:t>
      </w:r>
      <w:r w:rsidR="00900697" w:rsidRPr="00C41ABB">
        <w:rPr>
          <w:rFonts w:cstheme="majorHAnsi"/>
          <w:bCs/>
          <w:sz w:val="36"/>
          <w:szCs w:val="36"/>
          <w:lang w:val="en-US"/>
        </w:rPr>
        <w:t>Legitimate Crisis Governance in MLG System</w:t>
      </w:r>
      <w:r w:rsidR="00900697">
        <w:rPr>
          <w:rFonts w:cstheme="majorHAnsi"/>
          <w:bCs/>
          <w:sz w:val="36"/>
          <w:szCs w:val="36"/>
          <w:lang w:val="en-US"/>
        </w:rPr>
        <w:t>s</w:t>
      </w:r>
      <w:r w:rsidR="00900697">
        <w:rPr>
          <w:rFonts w:cstheme="majorHAnsi"/>
          <w:b w:val="0"/>
          <w:noProof/>
          <w:sz w:val="36"/>
          <w:szCs w:val="36"/>
          <w:lang w:val="en-US"/>
        </w:rPr>
        <w:drawing>
          <wp:inline distT="0" distB="0" distL="0" distR="0" wp14:anchorId="183F510A" wp14:editId="5014A2E1">
            <wp:extent cx="1895475" cy="2676525"/>
            <wp:effectExtent l="0" t="0" r="0" b="0"/>
            <wp:docPr id="1142457047" name="Picture 1142457047" descr="A logo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57047" name="Picture 1142457047" descr="A logo of a city&#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95475" cy="2676525"/>
                    </a:xfrm>
                    <a:prstGeom prst="rect">
                      <a:avLst/>
                    </a:prstGeom>
                    <a:noFill/>
                  </pic:spPr>
                </pic:pic>
              </a:graphicData>
            </a:graphic>
          </wp:inline>
        </w:drawing>
      </w:r>
    </w:p>
    <w:p w14:paraId="4B76F4A9" w14:textId="7EA573BB" w:rsidR="0068586A" w:rsidRPr="00900697" w:rsidRDefault="00900697" w:rsidP="0068586A">
      <w:pPr>
        <w:jc w:val="center"/>
        <w:rPr>
          <w:rStyle w:val="jsgrdq"/>
          <w:rFonts w:asciiTheme="majorHAnsi" w:hAnsiTheme="majorHAnsi" w:cstheme="majorHAnsi"/>
          <w:color w:val="2C2C2B"/>
          <w:lang w:val="en-US"/>
        </w:rPr>
      </w:pPr>
      <w:r w:rsidRPr="00900697">
        <w:rPr>
          <w:rStyle w:val="jsgrdq"/>
          <w:rFonts w:asciiTheme="majorHAnsi" w:hAnsiTheme="majorHAnsi" w:cstheme="majorHAnsi"/>
          <w:color w:val="2C2C2B"/>
          <w:lang w:val="en-US"/>
        </w:rPr>
        <w:t>Lars Brummel, Brendan Carroll, Dimiter Toshkov, Kutsal Yesilkagit and</w:t>
      </w:r>
      <w:r>
        <w:rPr>
          <w:rStyle w:val="jsgrdq"/>
          <w:rFonts w:asciiTheme="majorHAnsi" w:hAnsiTheme="majorHAnsi" w:cstheme="majorHAnsi"/>
          <w:color w:val="2C2C2B"/>
          <w:lang w:val="en-US"/>
        </w:rPr>
        <w:t xml:space="preserve"> Ingmar Jansen</w:t>
      </w:r>
    </w:p>
    <w:p w14:paraId="280845A1" w14:textId="556B92A1" w:rsidR="00983571" w:rsidRPr="002067DD" w:rsidRDefault="00862E03" w:rsidP="00700B5C">
      <w:pPr>
        <w:spacing w:line="259" w:lineRule="auto"/>
        <w:jc w:val="left"/>
      </w:pPr>
      <w:r w:rsidRPr="00900697">
        <w:rPr>
          <w:rStyle w:val="jsgrdq"/>
          <w:rFonts w:asciiTheme="majorHAnsi" w:hAnsiTheme="majorHAnsi" w:cstheme="majorHAnsi"/>
          <w:color w:val="2C2C2B"/>
          <w:lang w:val="en-US"/>
        </w:rPr>
        <w:br w:type="page"/>
      </w:r>
      <w:bookmarkStart w:id="0" w:name="_Toc121919788"/>
      <w:r w:rsidR="00983571" w:rsidRPr="002067DD">
        <w:lastRenderedPageBreak/>
        <w:t>Document information</w:t>
      </w:r>
      <w:bookmarkEnd w:id="0"/>
    </w:p>
    <w:tbl>
      <w:tblPr>
        <w:tblStyle w:val="Tabelraster"/>
        <w:tblW w:w="0" w:type="auto"/>
        <w:tblLook w:val="04A0" w:firstRow="1" w:lastRow="0" w:firstColumn="1" w:lastColumn="0" w:noHBand="0" w:noVBand="1"/>
      </w:tblPr>
      <w:tblGrid>
        <w:gridCol w:w="2263"/>
        <w:gridCol w:w="7087"/>
      </w:tblGrid>
      <w:tr w:rsidR="00983571" w:rsidRPr="002067DD" w14:paraId="384140F4" w14:textId="77777777" w:rsidTr="00983571">
        <w:tc>
          <w:tcPr>
            <w:tcW w:w="2263" w:type="dxa"/>
            <w:shd w:val="clear" w:color="auto" w:fill="32BDE6"/>
          </w:tcPr>
          <w:p w14:paraId="6063EA52" w14:textId="7E613C21"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CALL REFERENCE</w:t>
            </w:r>
          </w:p>
        </w:tc>
        <w:tc>
          <w:tcPr>
            <w:tcW w:w="7087" w:type="dxa"/>
          </w:tcPr>
          <w:p w14:paraId="74213027"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HORIZON-CL2-2021-DEMOCRACY 01</w:t>
            </w:r>
          </w:p>
        </w:tc>
      </w:tr>
      <w:tr w:rsidR="00983571" w:rsidRPr="002067DD" w14:paraId="43C7D962" w14:textId="77777777" w:rsidTr="00983571">
        <w:tc>
          <w:tcPr>
            <w:tcW w:w="2263" w:type="dxa"/>
            <w:shd w:val="clear" w:color="auto" w:fill="32BDE6"/>
          </w:tcPr>
          <w:p w14:paraId="3A65A2FD" w14:textId="62B32957"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PROPOSAL NUMBER</w:t>
            </w:r>
          </w:p>
        </w:tc>
        <w:tc>
          <w:tcPr>
            <w:tcW w:w="7087" w:type="dxa"/>
          </w:tcPr>
          <w:p w14:paraId="682A8F49"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101061550</w:t>
            </w:r>
          </w:p>
        </w:tc>
      </w:tr>
      <w:tr w:rsidR="00983571" w:rsidRPr="00DF47A8" w14:paraId="6954FA3B" w14:textId="77777777" w:rsidTr="00983571">
        <w:tc>
          <w:tcPr>
            <w:tcW w:w="2263" w:type="dxa"/>
            <w:shd w:val="clear" w:color="auto" w:fill="32BDE6"/>
          </w:tcPr>
          <w:p w14:paraId="64EB53B9" w14:textId="263E8E0E"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FULL TITLE</w:t>
            </w:r>
          </w:p>
        </w:tc>
        <w:tc>
          <w:tcPr>
            <w:tcW w:w="7087" w:type="dxa"/>
          </w:tcPr>
          <w:p w14:paraId="32F7D938"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Legitimate Crisis Governance in Multilevel Systems</w:t>
            </w:r>
          </w:p>
        </w:tc>
      </w:tr>
      <w:tr w:rsidR="00983571" w:rsidRPr="002067DD" w14:paraId="154C0000" w14:textId="77777777" w:rsidTr="00983571">
        <w:tc>
          <w:tcPr>
            <w:tcW w:w="2263" w:type="dxa"/>
            <w:shd w:val="clear" w:color="auto" w:fill="32BDE6"/>
          </w:tcPr>
          <w:p w14:paraId="7C108ECF" w14:textId="4A7BB773"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ACRONYM</w:t>
            </w:r>
          </w:p>
        </w:tc>
        <w:tc>
          <w:tcPr>
            <w:tcW w:w="7087" w:type="dxa"/>
          </w:tcPr>
          <w:p w14:paraId="22439230"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LEGITIMULT</w:t>
            </w:r>
          </w:p>
        </w:tc>
      </w:tr>
      <w:tr w:rsidR="00983571" w:rsidRPr="002067DD" w14:paraId="66252466" w14:textId="77777777" w:rsidTr="00983571">
        <w:tc>
          <w:tcPr>
            <w:tcW w:w="2263" w:type="dxa"/>
            <w:shd w:val="clear" w:color="auto" w:fill="32BDE6"/>
          </w:tcPr>
          <w:p w14:paraId="1FA8BB32" w14:textId="08794826"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PROJECT START DATE</w:t>
            </w:r>
          </w:p>
        </w:tc>
        <w:tc>
          <w:tcPr>
            <w:tcW w:w="7087" w:type="dxa"/>
          </w:tcPr>
          <w:p w14:paraId="272233AC"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1 October 2022</w:t>
            </w:r>
          </w:p>
        </w:tc>
      </w:tr>
      <w:tr w:rsidR="00983571" w:rsidRPr="002067DD" w14:paraId="2868A051" w14:textId="77777777" w:rsidTr="00983571">
        <w:tc>
          <w:tcPr>
            <w:tcW w:w="2263" w:type="dxa"/>
            <w:shd w:val="clear" w:color="auto" w:fill="32BDE6"/>
          </w:tcPr>
          <w:p w14:paraId="39F251DE" w14:textId="131AAC5E"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PROJECT END DATE</w:t>
            </w:r>
          </w:p>
        </w:tc>
        <w:tc>
          <w:tcPr>
            <w:tcW w:w="7087" w:type="dxa"/>
          </w:tcPr>
          <w:p w14:paraId="203B924F" w14:textId="77777777" w:rsidR="00983571" w:rsidRPr="002067DD" w:rsidRDefault="00983571" w:rsidP="00862E03">
            <w:pPr>
              <w:rPr>
                <w:rFonts w:asciiTheme="majorHAnsi" w:hAnsiTheme="majorHAnsi" w:cstheme="majorHAnsi"/>
              </w:rPr>
            </w:pPr>
            <w:r w:rsidRPr="002067DD">
              <w:rPr>
                <w:rFonts w:asciiTheme="majorHAnsi" w:hAnsiTheme="majorHAnsi" w:cstheme="majorHAnsi"/>
              </w:rPr>
              <w:t>30 September 2025</w:t>
            </w:r>
          </w:p>
        </w:tc>
      </w:tr>
    </w:tbl>
    <w:p w14:paraId="50DAFF11" w14:textId="77777777" w:rsidR="00983571" w:rsidRPr="002067DD" w:rsidRDefault="00983571" w:rsidP="00983571">
      <w:pPr>
        <w:rPr>
          <w:rFonts w:asciiTheme="majorHAnsi" w:hAnsiTheme="majorHAnsi" w:cstheme="majorHAnsi"/>
        </w:rPr>
      </w:pPr>
    </w:p>
    <w:p w14:paraId="7C781F7D" w14:textId="77777777" w:rsidR="00983571" w:rsidRPr="002067DD" w:rsidRDefault="00983571" w:rsidP="002067DD">
      <w:pPr>
        <w:pStyle w:val="Kop2"/>
      </w:pPr>
      <w:bookmarkStart w:id="1" w:name="_Toc121919789"/>
      <w:r w:rsidRPr="002067DD">
        <w:t xml:space="preserve">Document </w:t>
      </w:r>
      <w:proofErr w:type="spellStart"/>
      <w:r w:rsidRPr="002067DD">
        <w:t>history</w:t>
      </w:r>
      <w:bookmarkEnd w:id="1"/>
      <w:proofErr w:type="spellEnd"/>
    </w:p>
    <w:tbl>
      <w:tblPr>
        <w:tblStyle w:val="Tabelraster"/>
        <w:tblW w:w="9351" w:type="dxa"/>
        <w:tblLook w:val="04A0" w:firstRow="1" w:lastRow="0" w:firstColumn="1" w:lastColumn="0" w:noHBand="0" w:noVBand="1"/>
      </w:tblPr>
      <w:tblGrid>
        <w:gridCol w:w="1110"/>
        <w:gridCol w:w="1862"/>
        <w:gridCol w:w="3140"/>
        <w:gridCol w:w="3239"/>
      </w:tblGrid>
      <w:tr w:rsidR="00983571" w:rsidRPr="002067DD" w14:paraId="4242460C" w14:textId="77777777" w:rsidTr="00983571">
        <w:trPr>
          <w:trHeight w:val="300"/>
        </w:trPr>
        <w:tc>
          <w:tcPr>
            <w:tcW w:w="1110" w:type="dxa"/>
            <w:shd w:val="clear" w:color="auto" w:fill="32BDE6"/>
          </w:tcPr>
          <w:p w14:paraId="275D0954" w14:textId="4B21EFA7"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VERSION</w:t>
            </w:r>
          </w:p>
        </w:tc>
        <w:tc>
          <w:tcPr>
            <w:tcW w:w="1862" w:type="dxa"/>
            <w:shd w:val="clear" w:color="auto" w:fill="32BDE6"/>
          </w:tcPr>
          <w:p w14:paraId="373BAC5D" w14:textId="3AF5A991"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DATE</w:t>
            </w:r>
          </w:p>
        </w:tc>
        <w:tc>
          <w:tcPr>
            <w:tcW w:w="3140" w:type="dxa"/>
            <w:shd w:val="clear" w:color="auto" w:fill="32BDE6"/>
          </w:tcPr>
          <w:p w14:paraId="07504541" w14:textId="553E51EE"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DESCRIPTION</w:t>
            </w:r>
          </w:p>
        </w:tc>
        <w:tc>
          <w:tcPr>
            <w:tcW w:w="3239" w:type="dxa"/>
            <w:shd w:val="clear" w:color="auto" w:fill="32BDE6"/>
          </w:tcPr>
          <w:p w14:paraId="2D7D7D72" w14:textId="4DB4DAF4" w:rsidR="00983571" w:rsidRPr="002067DD" w:rsidRDefault="00983571" w:rsidP="00983571">
            <w:pPr>
              <w:rPr>
                <w:rFonts w:asciiTheme="majorHAnsi" w:hAnsiTheme="majorHAnsi" w:cstheme="majorHAnsi"/>
                <w:color w:val="FFFFFF" w:themeColor="background1"/>
              </w:rPr>
            </w:pPr>
            <w:r w:rsidRPr="002067DD">
              <w:rPr>
                <w:rFonts w:asciiTheme="majorHAnsi" w:hAnsiTheme="majorHAnsi" w:cstheme="majorHAnsi"/>
                <w:color w:val="FFFFFF" w:themeColor="background1"/>
              </w:rPr>
              <w:t>CONTRIBUTORS</w:t>
            </w:r>
          </w:p>
        </w:tc>
      </w:tr>
      <w:tr w:rsidR="00662685" w:rsidRPr="00DF47A8" w14:paraId="31B3E2EB" w14:textId="77777777" w:rsidTr="00983571">
        <w:trPr>
          <w:trHeight w:val="300"/>
        </w:trPr>
        <w:tc>
          <w:tcPr>
            <w:tcW w:w="1110" w:type="dxa"/>
          </w:tcPr>
          <w:p w14:paraId="038606B7" w14:textId="5C875EA8" w:rsidR="00662685" w:rsidRPr="002067DD" w:rsidRDefault="00900697" w:rsidP="00662685">
            <w:pPr>
              <w:rPr>
                <w:rFonts w:asciiTheme="majorHAnsi" w:hAnsiTheme="majorHAnsi" w:cstheme="majorHAnsi"/>
              </w:rPr>
            </w:pPr>
            <w:r>
              <w:rPr>
                <w:rFonts w:asciiTheme="majorHAnsi" w:hAnsiTheme="majorHAnsi" w:cstheme="majorHAnsi"/>
              </w:rPr>
              <w:t>1.0.</w:t>
            </w:r>
          </w:p>
        </w:tc>
        <w:tc>
          <w:tcPr>
            <w:tcW w:w="1862" w:type="dxa"/>
          </w:tcPr>
          <w:p w14:paraId="47BC517A" w14:textId="5593357C" w:rsidR="00662685" w:rsidRPr="002067DD" w:rsidRDefault="00900697" w:rsidP="00662685">
            <w:pPr>
              <w:rPr>
                <w:rFonts w:asciiTheme="majorHAnsi" w:hAnsiTheme="majorHAnsi" w:cstheme="majorHAnsi"/>
              </w:rPr>
            </w:pPr>
            <w:r>
              <w:rPr>
                <w:rFonts w:asciiTheme="majorHAnsi" w:hAnsiTheme="majorHAnsi" w:cstheme="majorHAnsi"/>
              </w:rPr>
              <w:t>1</w:t>
            </w:r>
            <w:r w:rsidR="00DF47A8">
              <w:rPr>
                <w:rFonts w:asciiTheme="majorHAnsi" w:hAnsiTheme="majorHAnsi" w:cstheme="majorHAnsi"/>
              </w:rPr>
              <w:t xml:space="preserve"> September 2025</w:t>
            </w:r>
          </w:p>
        </w:tc>
        <w:tc>
          <w:tcPr>
            <w:tcW w:w="3140" w:type="dxa"/>
          </w:tcPr>
          <w:p w14:paraId="1E8E9B9A" w14:textId="17A2663F" w:rsidR="00662685" w:rsidRPr="002067DD" w:rsidRDefault="00900697" w:rsidP="00662685">
            <w:pPr>
              <w:rPr>
                <w:rFonts w:asciiTheme="majorHAnsi" w:hAnsiTheme="majorHAnsi" w:cstheme="majorHAnsi"/>
              </w:rPr>
            </w:pPr>
            <w:r>
              <w:rPr>
                <w:rFonts w:asciiTheme="majorHAnsi" w:hAnsiTheme="majorHAnsi" w:cstheme="majorHAnsi"/>
              </w:rPr>
              <w:t xml:space="preserve">WP2 – </w:t>
            </w:r>
            <w:r w:rsidR="00DF47A8">
              <w:rPr>
                <w:rFonts w:asciiTheme="majorHAnsi" w:hAnsiTheme="majorHAnsi" w:cstheme="majorHAnsi"/>
              </w:rPr>
              <w:t>draft book chapter</w:t>
            </w:r>
          </w:p>
        </w:tc>
        <w:tc>
          <w:tcPr>
            <w:tcW w:w="3239" w:type="dxa"/>
          </w:tcPr>
          <w:p w14:paraId="5FF41419" w14:textId="3DA14E2C" w:rsidR="00662685" w:rsidRPr="002067DD" w:rsidRDefault="00900697" w:rsidP="00662685">
            <w:pPr>
              <w:rPr>
                <w:rFonts w:asciiTheme="majorHAnsi" w:hAnsiTheme="majorHAnsi" w:cstheme="majorHAnsi"/>
              </w:rPr>
            </w:pPr>
            <w:r w:rsidRPr="00785997">
              <w:rPr>
                <w:rFonts w:asciiTheme="majorHAnsi" w:hAnsiTheme="majorHAnsi" w:cstheme="majorHAnsi"/>
              </w:rPr>
              <w:t>Lars Brummel, B</w:t>
            </w:r>
            <w:r w:rsidRPr="00785997">
              <w:rPr>
                <w:rFonts w:asciiTheme="majorHAnsi" w:hAnsiTheme="majorHAnsi"/>
              </w:rPr>
              <w:t xml:space="preserve">rendan J. Carroll, </w:t>
            </w:r>
            <w:r w:rsidRPr="00785997">
              <w:rPr>
                <w:rFonts w:asciiTheme="majorHAnsi" w:hAnsiTheme="majorHAnsi" w:cstheme="majorHAnsi"/>
              </w:rPr>
              <w:t>Dimiter Toshkov</w:t>
            </w:r>
            <w:r>
              <w:rPr>
                <w:rFonts w:asciiTheme="majorHAnsi" w:hAnsiTheme="majorHAnsi" w:cstheme="majorHAnsi"/>
              </w:rPr>
              <w:t>,</w:t>
            </w:r>
            <w:r w:rsidRPr="00785997">
              <w:rPr>
                <w:rFonts w:asciiTheme="majorHAnsi" w:hAnsiTheme="majorHAnsi" w:cstheme="majorHAnsi"/>
              </w:rPr>
              <w:t xml:space="preserve"> </w:t>
            </w:r>
            <w:r w:rsidR="00DF47A8">
              <w:rPr>
                <w:rFonts w:asciiTheme="majorHAnsi" w:hAnsiTheme="majorHAnsi" w:cstheme="majorHAnsi"/>
              </w:rPr>
              <w:t xml:space="preserve">and </w:t>
            </w:r>
            <w:r w:rsidRPr="00785997">
              <w:rPr>
                <w:rFonts w:asciiTheme="majorHAnsi" w:hAnsiTheme="majorHAnsi" w:cstheme="majorHAnsi"/>
              </w:rPr>
              <w:t>Kutsal Yesilkagit</w:t>
            </w:r>
            <w:r>
              <w:rPr>
                <w:rFonts w:asciiTheme="majorHAnsi" w:hAnsiTheme="majorHAnsi" w:cstheme="majorHAnsi"/>
              </w:rPr>
              <w:t xml:space="preserve"> </w:t>
            </w:r>
          </w:p>
        </w:tc>
      </w:tr>
      <w:tr w:rsidR="00662685" w:rsidRPr="00DF47A8" w14:paraId="2B79B402" w14:textId="77777777" w:rsidTr="00983571">
        <w:trPr>
          <w:trHeight w:val="300"/>
        </w:trPr>
        <w:tc>
          <w:tcPr>
            <w:tcW w:w="1110" w:type="dxa"/>
          </w:tcPr>
          <w:p w14:paraId="5D15110F" w14:textId="5EC5BE61" w:rsidR="00662685" w:rsidRPr="002067DD" w:rsidRDefault="00662685" w:rsidP="00662685">
            <w:pPr>
              <w:rPr>
                <w:rFonts w:asciiTheme="majorHAnsi" w:hAnsiTheme="majorHAnsi" w:cstheme="majorHAnsi"/>
              </w:rPr>
            </w:pPr>
          </w:p>
        </w:tc>
        <w:tc>
          <w:tcPr>
            <w:tcW w:w="1862" w:type="dxa"/>
          </w:tcPr>
          <w:p w14:paraId="0C3C556D" w14:textId="286FA97C" w:rsidR="00662685" w:rsidRPr="002067DD" w:rsidRDefault="00662685" w:rsidP="00662685">
            <w:pPr>
              <w:rPr>
                <w:rFonts w:asciiTheme="majorHAnsi" w:hAnsiTheme="majorHAnsi" w:cstheme="majorHAnsi"/>
              </w:rPr>
            </w:pPr>
          </w:p>
        </w:tc>
        <w:tc>
          <w:tcPr>
            <w:tcW w:w="3140" w:type="dxa"/>
          </w:tcPr>
          <w:p w14:paraId="01A5FC6F" w14:textId="28ADA3BF" w:rsidR="00662685" w:rsidRPr="002067DD" w:rsidRDefault="00662685" w:rsidP="00662685">
            <w:pPr>
              <w:rPr>
                <w:rFonts w:asciiTheme="majorHAnsi" w:hAnsiTheme="majorHAnsi" w:cstheme="majorHAnsi"/>
              </w:rPr>
            </w:pPr>
          </w:p>
        </w:tc>
        <w:tc>
          <w:tcPr>
            <w:tcW w:w="3239" w:type="dxa"/>
          </w:tcPr>
          <w:p w14:paraId="57D1ECE3" w14:textId="7F0973D5" w:rsidR="00662685" w:rsidRPr="002067DD" w:rsidRDefault="00662685" w:rsidP="00662685">
            <w:pPr>
              <w:rPr>
                <w:rFonts w:asciiTheme="majorHAnsi" w:hAnsiTheme="majorHAnsi" w:cstheme="majorHAnsi"/>
              </w:rPr>
            </w:pPr>
          </w:p>
        </w:tc>
      </w:tr>
      <w:tr w:rsidR="00662685" w:rsidRPr="00DF47A8" w14:paraId="7EAFDD78" w14:textId="77777777" w:rsidTr="00983571">
        <w:trPr>
          <w:trHeight w:val="300"/>
        </w:trPr>
        <w:tc>
          <w:tcPr>
            <w:tcW w:w="1110" w:type="dxa"/>
          </w:tcPr>
          <w:p w14:paraId="76FB731C" w14:textId="5FA52D1E" w:rsidR="00662685" w:rsidRPr="00900697" w:rsidRDefault="00662685" w:rsidP="00662685">
            <w:pPr>
              <w:rPr>
                <w:rFonts w:asciiTheme="majorHAnsi" w:hAnsiTheme="majorHAnsi" w:cstheme="majorHAnsi"/>
              </w:rPr>
            </w:pPr>
          </w:p>
        </w:tc>
        <w:tc>
          <w:tcPr>
            <w:tcW w:w="1862" w:type="dxa"/>
          </w:tcPr>
          <w:p w14:paraId="277BF6D4" w14:textId="531ECCD7" w:rsidR="00662685" w:rsidRPr="00900697" w:rsidRDefault="00662685" w:rsidP="00662685">
            <w:pPr>
              <w:rPr>
                <w:rFonts w:asciiTheme="majorHAnsi" w:hAnsiTheme="majorHAnsi" w:cstheme="majorHAnsi"/>
              </w:rPr>
            </w:pPr>
          </w:p>
        </w:tc>
        <w:tc>
          <w:tcPr>
            <w:tcW w:w="3140" w:type="dxa"/>
          </w:tcPr>
          <w:p w14:paraId="59B8EE05" w14:textId="3102CA7C" w:rsidR="00662685" w:rsidRPr="002067DD" w:rsidRDefault="00662685" w:rsidP="00B3657D">
            <w:pPr>
              <w:jc w:val="left"/>
              <w:rPr>
                <w:rFonts w:asciiTheme="majorHAnsi" w:hAnsiTheme="majorHAnsi" w:cstheme="majorHAnsi"/>
              </w:rPr>
            </w:pPr>
          </w:p>
        </w:tc>
        <w:tc>
          <w:tcPr>
            <w:tcW w:w="3239" w:type="dxa"/>
          </w:tcPr>
          <w:p w14:paraId="269008D7" w14:textId="63258240" w:rsidR="00662685" w:rsidRPr="002067DD" w:rsidRDefault="00662685" w:rsidP="00662685">
            <w:pPr>
              <w:rPr>
                <w:rFonts w:asciiTheme="majorHAnsi" w:hAnsiTheme="majorHAnsi" w:cstheme="majorHAnsi"/>
              </w:rPr>
            </w:pPr>
          </w:p>
        </w:tc>
      </w:tr>
      <w:tr w:rsidR="00662685" w:rsidRPr="00DF47A8" w14:paraId="451D6200" w14:textId="77777777" w:rsidTr="00983571">
        <w:trPr>
          <w:trHeight w:val="300"/>
        </w:trPr>
        <w:tc>
          <w:tcPr>
            <w:tcW w:w="1110" w:type="dxa"/>
          </w:tcPr>
          <w:p w14:paraId="3BD03BBB" w14:textId="77777777" w:rsidR="00662685" w:rsidRPr="002067DD" w:rsidRDefault="00662685" w:rsidP="00662685">
            <w:pPr>
              <w:rPr>
                <w:rFonts w:asciiTheme="majorHAnsi" w:hAnsiTheme="majorHAnsi" w:cstheme="majorHAnsi"/>
              </w:rPr>
            </w:pPr>
          </w:p>
        </w:tc>
        <w:tc>
          <w:tcPr>
            <w:tcW w:w="1862" w:type="dxa"/>
          </w:tcPr>
          <w:p w14:paraId="3E904794" w14:textId="77777777" w:rsidR="00662685" w:rsidRPr="00900697" w:rsidRDefault="00662685" w:rsidP="00662685">
            <w:pPr>
              <w:rPr>
                <w:rFonts w:asciiTheme="majorHAnsi" w:hAnsiTheme="majorHAnsi" w:cstheme="majorHAnsi"/>
              </w:rPr>
            </w:pPr>
          </w:p>
        </w:tc>
        <w:tc>
          <w:tcPr>
            <w:tcW w:w="3140" w:type="dxa"/>
          </w:tcPr>
          <w:p w14:paraId="4016E004" w14:textId="77777777" w:rsidR="00662685" w:rsidRPr="002067DD" w:rsidRDefault="00662685" w:rsidP="00662685">
            <w:pPr>
              <w:rPr>
                <w:rFonts w:asciiTheme="majorHAnsi" w:hAnsiTheme="majorHAnsi" w:cstheme="majorHAnsi"/>
              </w:rPr>
            </w:pPr>
          </w:p>
        </w:tc>
        <w:tc>
          <w:tcPr>
            <w:tcW w:w="3239" w:type="dxa"/>
          </w:tcPr>
          <w:p w14:paraId="489CDED5" w14:textId="77777777" w:rsidR="00662685" w:rsidRPr="002067DD" w:rsidRDefault="00662685" w:rsidP="00662685">
            <w:pPr>
              <w:rPr>
                <w:rFonts w:asciiTheme="majorHAnsi" w:hAnsiTheme="majorHAnsi" w:cstheme="majorHAnsi"/>
              </w:rPr>
            </w:pPr>
          </w:p>
        </w:tc>
      </w:tr>
      <w:tr w:rsidR="00662685" w:rsidRPr="00DF47A8" w14:paraId="4346123A" w14:textId="77777777" w:rsidTr="00983571">
        <w:trPr>
          <w:trHeight w:val="300"/>
        </w:trPr>
        <w:tc>
          <w:tcPr>
            <w:tcW w:w="1110" w:type="dxa"/>
          </w:tcPr>
          <w:p w14:paraId="134584ED" w14:textId="77777777" w:rsidR="00662685" w:rsidRPr="002067DD" w:rsidRDefault="00662685" w:rsidP="00662685">
            <w:pPr>
              <w:rPr>
                <w:rFonts w:asciiTheme="majorHAnsi" w:hAnsiTheme="majorHAnsi" w:cstheme="majorHAnsi"/>
              </w:rPr>
            </w:pPr>
          </w:p>
        </w:tc>
        <w:tc>
          <w:tcPr>
            <w:tcW w:w="1862" w:type="dxa"/>
          </w:tcPr>
          <w:p w14:paraId="6D09334A" w14:textId="77777777" w:rsidR="00662685" w:rsidRPr="002067DD" w:rsidRDefault="00662685" w:rsidP="00662685">
            <w:pPr>
              <w:rPr>
                <w:rFonts w:asciiTheme="majorHAnsi" w:hAnsiTheme="majorHAnsi" w:cstheme="majorHAnsi"/>
              </w:rPr>
            </w:pPr>
          </w:p>
        </w:tc>
        <w:tc>
          <w:tcPr>
            <w:tcW w:w="3140" w:type="dxa"/>
          </w:tcPr>
          <w:p w14:paraId="15018AC2" w14:textId="77777777" w:rsidR="00662685" w:rsidRPr="002067DD" w:rsidRDefault="00662685" w:rsidP="00662685">
            <w:pPr>
              <w:rPr>
                <w:rFonts w:asciiTheme="majorHAnsi" w:hAnsiTheme="majorHAnsi" w:cstheme="majorHAnsi"/>
              </w:rPr>
            </w:pPr>
          </w:p>
        </w:tc>
        <w:tc>
          <w:tcPr>
            <w:tcW w:w="3239" w:type="dxa"/>
          </w:tcPr>
          <w:p w14:paraId="7734E51A" w14:textId="77777777" w:rsidR="00662685" w:rsidRPr="002067DD" w:rsidRDefault="00662685" w:rsidP="00662685">
            <w:pPr>
              <w:rPr>
                <w:rFonts w:asciiTheme="majorHAnsi" w:hAnsiTheme="majorHAnsi" w:cstheme="majorHAnsi"/>
              </w:rPr>
            </w:pPr>
          </w:p>
        </w:tc>
      </w:tr>
    </w:tbl>
    <w:p w14:paraId="7236179B" w14:textId="77777777" w:rsidR="00983571" w:rsidRPr="00900697" w:rsidRDefault="00983571" w:rsidP="00983571">
      <w:pPr>
        <w:rPr>
          <w:rFonts w:asciiTheme="majorHAnsi" w:hAnsiTheme="majorHAnsi" w:cstheme="majorHAnsi"/>
          <w:b/>
          <w:szCs w:val="24"/>
          <w:lang w:val="en-US"/>
        </w:rPr>
      </w:pPr>
    </w:p>
    <w:p w14:paraId="20347BAA" w14:textId="77777777" w:rsidR="00983571" w:rsidRPr="002067DD" w:rsidRDefault="00983571" w:rsidP="002067DD">
      <w:pPr>
        <w:pStyle w:val="Kop2"/>
      </w:pPr>
      <w:bookmarkStart w:id="2" w:name="_Toc121919790"/>
      <w:r w:rsidRPr="002067DD">
        <w:t>Disclaimer</w:t>
      </w:r>
      <w:bookmarkEnd w:id="2"/>
    </w:p>
    <w:p w14:paraId="7A21B920" w14:textId="0586228B" w:rsidR="00205F2F" w:rsidRPr="002067DD" w:rsidRDefault="00DD7312" w:rsidP="00DD7312">
      <w:pPr>
        <w:rPr>
          <w:rStyle w:val="jsgrdq"/>
          <w:rFonts w:asciiTheme="majorHAnsi" w:hAnsiTheme="majorHAnsi" w:cstheme="majorHAnsi"/>
          <w:color w:val="2C2C2B"/>
          <w:lang w:val="en-US"/>
        </w:rPr>
      </w:pPr>
      <w:r w:rsidRPr="002067DD">
        <w:rPr>
          <w:rFonts w:asciiTheme="majorHAnsi" w:hAnsiTheme="majorHAnsi" w:cstheme="majorHAnsi"/>
          <w:lang w:val="en-US"/>
        </w:rPr>
        <w:t>Funded by the European Union. Views and opinions expressed are however those of the author(s) only and do not necessarily reflect those of the European Union or the Swiss State Secretariat for Education, Research and Innovation (SERI). Neither the European Union nor SERI can be held responsible for them.</w:t>
      </w:r>
    </w:p>
    <w:p w14:paraId="1ED8EBB5" w14:textId="1D955914" w:rsidR="00662685" w:rsidRPr="002067DD" w:rsidRDefault="00983571" w:rsidP="00662685">
      <w:pPr>
        <w:pStyle w:val="Titel"/>
        <w:jc w:val="center"/>
        <w:rPr>
          <w:rFonts w:cstheme="majorHAnsi"/>
          <w:lang w:val="en-US"/>
        </w:rPr>
      </w:pPr>
      <w:r w:rsidRPr="002067DD">
        <w:rPr>
          <w:rFonts w:cstheme="majorHAnsi"/>
          <w:lang w:val="en-US"/>
        </w:rPr>
        <w:br w:type="page"/>
      </w:r>
    </w:p>
    <w:p w14:paraId="14DD5B95" w14:textId="77777777" w:rsidR="00CC5602" w:rsidRDefault="00CC5602" w:rsidP="00CC5602">
      <w:pPr>
        <w:spacing w:after="120" w:line="360" w:lineRule="auto"/>
        <w:rPr>
          <w:rFonts w:ascii="Times New Roman" w:eastAsia="Times New Roman" w:hAnsi="Times New Roman" w:cs="Times New Roman"/>
          <w:b/>
          <w:sz w:val="28"/>
          <w:lang w:val="en-GB" w:eastAsia="en-GB"/>
        </w:rPr>
      </w:pPr>
    </w:p>
    <w:p w14:paraId="0B0F2D29" w14:textId="77777777" w:rsidR="00CC5602" w:rsidRPr="00CF1465" w:rsidRDefault="00CC5602" w:rsidP="00CC5602">
      <w:pPr>
        <w:spacing w:after="120" w:line="360" w:lineRule="auto"/>
        <w:rPr>
          <w:rFonts w:ascii="Times New Roman" w:eastAsia="Times New Roman" w:hAnsi="Times New Roman" w:cs="Times New Roman"/>
          <w:b/>
          <w:sz w:val="28"/>
          <w:lang w:val="en-GB" w:eastAsia="en-GB"/>
        </w:rPr>
      </w:pPr>
      <w:r>
        <w:rPr>
          <w:rFonts w:ascii="Times New Roman" w:eastAsia="Times New Roman" w:hAnsi="Times New Roman" w:cs="Times New Roman"/>
          <w:b/>
          <w:sz w:val="28"/>
          <w:lang w:val="en-GB" w:eastAsia="en-GB"/>
        </w:rPr>
        <w:t xml:space="preserve">2. </w:t>
      </w:r>
      <w:r w:rsidRPr="00CF1465">
        <w:rPr>
          <w:rFonts w:ascii="Times New Roman" w:eastAsia="Times New Roman" w:hAnsi="Times New Roman" w:cs="Times New Roman"/>
          <w:b/>
          <w:sz w:val="28"/>
          <w:lang w:val="en-GB" w:eastAsia="en-GB"/>
        </w:rPr>
        <w:t>Legitimate Crisis Governance in Multi-Level Governance Systems</w:t>
      </w:r>
    </w:p>
    <w:p w14:paraId="6044430D" w14:textId="77777777" w:rsidR="00CC5602" w:rsidRPr="00CF1465" w:rsidRDefault="00CC5602" w:rsidP="00CC5602">
      <w:pPr>
        <w:tabs>
          <w:tab w:val="left" w:pos="1077"/>
          <w:tab w:val="left" w:pos="1440"/>
          <w:tab w:val="left" w:pos="1797"/>
          <w:tab w:val="left" w:pos="2155"/>
          <w:tab w:val="left" w:pos="2512"/>
        </w:tabs>
        <w:spacing w:before="240" w:after="360" w:line="360" w:lineRule="auto"/>
        <w:ind w:left="709" w:right="425"/>
        <w:contextualSpacing/>
        <w:jc w:val="right"/>
        <w:rPr>
          <w:rFonts w:ascii="Times New Roman" w:eastAsia="Times New Roman" w:hAnsi="Times New Roman" w:cs="Times New Roman"/>
          <w:i/>
          <w:iCs/>
          <w:lang w:val="en-GB" w:eastAsia="en-GB"/>
        </w:rPr>
      </w:pPr>
      <w:r w:rsidRPr="00CF1465">
        <w:rPr>
          <w:rFonts w:ascii="Times New Roman" w:eastAsia="Times New Roman" w:hAnsi="Times New Roman" w:cs="Times New Roman"/>
          <w:i/>
          <w:iCs/>
          <w:lang w:val="en-GB" w:eastAsia="en-GB"/>
        </w:rPr>
        <w:t>"It's quite something when, as a local official, you set aside national authority. You're also setting the wrong example, because at the same time you're expecting people to follow the law. On top of that, the legitimacy of the curfew measures was already so much under debate that I really didn't think it was justified to undermine national authority from a local level."</w:t>
      </w:r>
    </w:p>
    <w:p w14:paraId="35CD3CAA" w14:textId="77777777" w:rsidR="00CC5602" w:rsidRPr="00CF1465" w:rsidRDefault="00CC5602" w:rsidP="00CC5602">
      <w:pPr>
        <w:tabs>
          <w:tab w:val="left" w:pos="1077"/>
          <w:tab w:val="left" w:pos="1440"/>
          <w:tab w:val="left" w:pos="1797"/>
          <w:tab w:val="left" w:pos="2155"/>
          <w:tab w:val="left" w:pos="2512"/>
        </w:tabs>
        <w:spacing w:before="240" w:after="360" w:line="360" w:lineRule="auto"/>
        <w:ind w:left="709" w:right="425"/>
        <w:contextualSpacing/>
        <w:jc w:val="right"/>
        <w:rPr>
          <w:rFonts w:ascii="Times New Roman" w:eastAsia="Times New Roman" w:hAnsi="Times New Roman" w:cs="Times New Roman"/>
          <w:i/>
          <w:iCs/>
          <w:lang w:val="en-GB" w:eastAsia="en-GB"/>
        </w:rPr>
      </w:pPr>
      <w:r w:rsidRPr="00CF1465">
        <w:rPr>
          <w:rFonts w:ascii="Times New Roman" w:eastAsia="Times New Roman" w:hAnsi="Times New Roman" w:cs="Times New Roman"/>
          <w:lang w:val="en-GB" w:eastAsia="en-GB"/>
        </w:rPr>
        <w:t>Femke Halsema, mayor of Amsterdam, in a local media interview (8 March, 2025)</w:t>
      </w:r>
    </w:p>
    <w:p w14:paraId="1D9D11AA"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kern w:val="32"/>
          <w:szCs w:val="32"/>
          <w:lang w:val="en-GB" w:eastAsia="en-GB"/>
        </w:rPr>
      </w:pPr>
      <w:r w:rsidRPr="00CF1465">
        <w:rPr>
          <w:rFonts w:ascii="Times New Roman" w:eastAsia="Times New Roman" w:hAnsi="Times New Roman" w:cs="Arial"/>
          <w:b/>
          <w:bCs/>
          <w:kern w:val="32"/>
          <w:szCs w:val="32"/>
          <w:lang w:val="en-GB" w:eastAsia="en-GB"/>
        </w:rPr>
        <w:t>Introduction</w:t>
      </w:r>
    </w:p>
    <w:p w14:paraId="2DBB5A4F" w14:textId="77777777" w:rsidR="00CC5602" w:rsidRPr="00CF1465" w:rsidRDefault="00CC5602" w:rsidP="00CC5602">
      <w:pPr>
        <w:widowControl w:val="0"/>
        <w:spacing w:before="240"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When a crisis strikes a political community, governments face the challenge of orchestrating effective and legitimate crisis responses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{"citationID":"oSQOFkJr","properties":{"formattedCitation":"(Christensen et al., 2016)","plainCitation":"(Christensen et al., 2016)","noteIndex":0},"citationItems":[{"id":"p8bpfMTc/maxcEoHx","uris":["http://zotero.org/users/5191464/items/YY8LV5XC"],"itemData":{"id":"1KSa9IZo/8ZLv8VmM","type":"article-journal","abstract":"What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(Christensen et al., 2016)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During crises, the problem-solving capacity of governmental authorities is put to an ultimate test, because authorities have to reach adequate decisions under severe time constraints and persistent uncertainty. Governmental leaders can be caught in a trap between fast and timely responses and holding up to democratic principles, such as public accountability and consultation. Meanwhile, they can face difficult decisions involving dilemmas between different values and interests, and they further have to decide on the allocation of limited resources. And, on top of that, governments are expected to respond to a crisis in a way that citizens perceive as legitimate and appropriate.</w:t>
      </w:r>
    </w:p>
    <w:p w14:paraId="07846158"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These challenges may escalate in complex and fragmented systems of multi-level governance (MLG), where power and competences are dispersed across different actors at different governmental levels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{"citationID":"sDFOCP2Y","properties":{"formattedCitation":"(Bache &amp; Flinders, 2004; Hooghe &amp; Marks, 2003; Papadopoulos et al., 2024)","plainCitation":"(Bache &amp; Flinders, 2004; Hooghe &amp; Marks, 2003; Papadopoulos et al., 2024)","noteIndex":0},"citationItems":[{"id":4969,"uris":["http://zotero.org/users/10684127/items/WIUT4LEQ"],"itemData":{"id":4969,"type":"book","abstract":"The power and future role of nation states are a topic of increasing importance. The dispersion of authority both vertically to supranational and subnational institutions and horizontally to non-state actors has challenged the structure and capacity of national governments. Multi-level governance has emerged as an important concept for understanding the dynamic relationships between state and non-state actors within territorially overarching networks. Multi-level Governance explores definitions and applications of the concept by drawing on contributions from scholars with different concerns within the broad discipline of Political Studies. It contends that new analytical frameworks that transcend traditional disciplinary boundaries and epistemological positions are essential for comprehending the changing nature of governance. In this context, this volume undertakes a critical assessment of both the potentialities and the limitations of multi-level governance.","ISBN":"978-0-19-153180-4","language":"en","note":"Google-Books-ID: eQ5REAAAQBAJ","number-of-pages":"252","publisher":"Oxford University Press","source":"Google Books","title":"Multi-level Governance","author":[{"family":"Bache","given":"Ian"},{"family":"Flinders","given":"Matthew"}],"issued":{"date-parts":[["2004",2,26]]}}},{"id":155,"uris":["http://zotero.org/users/10684127/items/3GITTFK9"],"itemData":{"id":155,"type":"article-journal","abstract":"The reallocation of authority upward, downward, and sideways from central states has drawn attention from a growing number of scholars in political science. Yet beyond agreement that governance has become (and should be) multi-level, there is no consensus about how it should be organized. This article draws on several literatures to distinguish two types of multi-level governance. One type conceives of dispersion of authority to general-purpose, nonintersecting, and durable jurisdictions. A second type of governance conceives of task-specific, intersecting, and flexible jurisdictions. We conclude by specifying the virtues of each type of governance.For comments and advice we are grateful to Christopher Ansell, Ian Bache, Richard Balme, Arthur Benz, Tanja Börzel, Renaud Dehousse, Burkard Eberlein, Peter Hall, Edgar Grande, Richard Haesly, Bob Jessop, Beate Kohler-Koch, David Lake, Patrick Le Galés, Christiane Lemke, David Lowery, Michael McGinnis, Andrew Moravcsik, Elinor Ostrom, Franz U. Pappi, Thomas Risse, James Rosenau, Alberta Sbragia, Philippe Schmitter, Ulf Sverdrup, Christian Tusschoff, Bernhard Wessels, the political science discussion group at the University of North Carolina, and the editor and three anonymous reviewers of APSR. We received institutional support from the Center for European Studies at the University of North Carolina, the Alexander von Humboldt Foundation, and the Wissenschaftszentrum für Sozialforschung in Berlin. Earlier versions were presented at the European Union Studies Association meeting, the ECPR pan-European Conference in Bordeaux, and Hannover Universität, Harvard University, Humboldt Universität, Indiana University at Bloomington, Mannheim Universität, Sheffield University, Sciences Po (Paris), Technische Universität München, and the Vrije Universiteit Amsterdam. The authors' names appear in alphabetical order.","container-title":"American Political Science Review","DOI":"10.1017/S0003055403000649","ISSN":"1537-5943, 0003-0554","issue":"2","language":"en","page":"233-243","source":"Cambridge University Press","title":"Unraveling the Central State, but How? Types of Multi-level Governance","title-short":"Unraveling the Central State, but How?","volume":"97","author":[{"family":"Hooghe","given":"Liesbet"},{"family":"Marks","given":"Gary"}],"issued":{"date-parts":[["2003",5]]}}},{"id":4711,"uris":["http://zotero.org/users/10684127/items/DYJP3894"],"itemData":{"id":4711,"type":"article-journal","abstract":"Multilevel governance (MLG) is one of the most successful ideas in contemporary political scholarship. Coined in the early 1990s by Gary Marks to examine developments in the European Union’s regional policy, MLG has since been adopted and further elaborated in numerous publications, which have expanded the concept well beyond its initial context, and afforded it wide currency in academic and policy-making circles. As the term turns thirty, this article maps MLG scholarship by presenting the first systematic review of this literature, based on a dataset of 590 publications. In particular, the article identifies key conceptual and empirical developments in MLG studies, assesses strengths and weaknesses of existing research, and informs future work by locating gaps and suggesting directions. By examining MLG research comprehensively, the article also provides a solid basis on which future scholarship may, possibly, reassess some of the longstanding ‘existential’ questions on multilevel governance as a research programme.","container-title":"Regional &amp; Federal Studies","DOI":"10.1080/13597566.2024.2334470","ISSN":"1359-7566","note":"publisher: RSA Website\n_eprint: https://doi.org/10.1080/13597566.2024.2334470","page":"1-33","source":"Taylor and Francis+NEJM","title":"Taking stock of the multilevel governance research programme: a systematic literature review","title-short":"Taking stock of the multilevel governance research programme","volume":"Online first publication","author":[{"family":"Papadopoulos","given":"Yannis"},{"family":"Tortola","given":"Pier Domenico"},{"family":"Geyer","given":"Nathan"}],"issued":{"date-parts":[["2024"]]}}}],"schema":"https://github.com/citation-style-language/schema/raw/master/csl-citation.json"}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(Bache &amp; Flinders, 2004; </w:t>
      </w:r>
      <w:proofErr w:type="spellStart"/>
      <w:r w:rsidRPr="00CF1465">
        <w:rPr>
          <w:rFonts w:ascii="Times New Roman" w:eastAsia="Times New Roman" w:hAnsi="Times New Roman" w:cs="Times New Roman"/>
          <w:lang w:val="en-GB" w:eastAsia="en-GB"/>
        </w:rPr>
        <w:t>Hooghe</w:t>
      </w:r>
      <w:proofErr w:type="spellEnd"/>
      <w:r w:rsidRPr="00CF1465">
        <w:rPr>
          <w:rFonts w:ascii="Times New Roman" w:eastAsia="Times New Roman" w:hAnsi="Times New Roman" w:cs="Times New Roman"/>
          <w:lang w:val="en-GB" w:eastAsia="en-GB"/>
        </w:rPr>
        <w:t xml:space="preserve"> &amp; Marks, 2003; Papadopoulos et al., 2024)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the current era of crisis governance, crises are often transboundary in nature, which means that they can easily transcend political and geographical boundaries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{"citationID":"wXvEOl5D","properties":{"formattedCitation":"(Ansell et al., 2010; Boin, 2019)","plainCitation":"(Ansell et al., 2010; Boin, 2019)","noteIndex":0},"citationItems":[{"id":"p8bpfMTc/nEGEDRhG","uris":["http://zotero.org/users/5191464/items/TEKJ2TUB"],"itemData":{"id":"1KSa9IZo/wrfdNhYo","type":"article-journal","abstract":"In recent years, crises have become increasingly transboundary in nature. This exploratory paper investigates whether and how the transboundary dimensions of crises such as pandemics, cyber attacks and prolonged critical infrastructure failure accentuate the challenges that public and private authorities confront in the face of urgent threats. We explore the transboundary dimensions of crises and disasters, discuss how an increase in ‘transboundedness’ affects traditional crisis management challenges and investigate what administrative mechanisms are needed to deal with these compounded challenges. Building on lessons learned from past crises and disasters, our goal is to stimulate a discussion among crisis management scholars about the political-administrative capabilities required to deal with ‘transboundary’ crises.","container-title":"Journal of Contingencies and Crisis Management","DOI":"10.1111/j.1468-5973.2010.00620.x","ISSN":"1468-5973","issue":"4","language":"en","note":"_eprint: https://onlinelibrary.wiley.com/doi/pdf/10.1111/j.1468-5973.2010.00620.x","page":"195-207","source":"Wiley Online Library","title":"Managing Transboundary Crises: Identifying the Building Blocks of an Effective Response System","title-short":"Managing Transboundary Crises","volume":"18","author":[{"family":"Ansell","given":"Chris"},{"family":"Boin","given":"Arjen"},{"family":"Keller","given":"Ann"}],"issued":{"date-parts":[["2010"]]}}},{"id":1236,"uris":["http://zotero.org/users/10684127/items/PLLS4SL9"],"itemData":{"id":1236,"type":"article-journal","abstract":"Modern societies rely on complex technological systems that are deeply intertwined with other complex systems that stretch across geographical, judicial and administrative borders. When threats emanate from this transboundary space, national governments are often surprised and discover that existing crisis management arrangements do not suffice. This article describes the political and administrative challenges that accompany transboundary crises. It argues that arrangements and processes that work reasonably well for “bounded” crises are unlikely to work in the case of transboundary crises. It formulates an agenda for political debate and academic research. The bottom line is that we need to rethink traditional crisis management arrangements in order to prepare for these increasingly common type of threats.","container-title":"Journal of Contingencies and Crisis Management","DOI":"10.1111/1468-5973.12241","ISSN":"1468-5973","issue":"1","language":"en","page":"94-99","source":"Wiley Online Library","title":"The Transboundary Crisis: Why we are unprepared and the road ahead","title-short":"The Transboundary Crisis","volume":"27","author":[{"family":"Boin","given":"Arjen"}],"issued":{"date-parts":[["2019"]]}}}],"schema":"https://github.com/citation-style-language/schema/raw/master/csl-citation.json"}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(Ansell et al., 2010; Boin, 2019)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Importantly, a transboundary crisis is not restricted to a single geographical location (i.e. a “Ground Zero”), but affects multiple regions, countries and sometimes even continents –the COVID-19 pandemic provides an illustrative example of this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{"citationID":"A6HEHMyO","properties":{"formattedCitation":"(Boin et al., 2021)","plainCitation":"(Boin et al., 2021)","noteIndex":0},"citationItems":[{"id":"p8bpfMTc/bNgG2nGH","uris":["http://zotero.org/users/5191464/items/YE7MH4JM"],"itemData":{"id":"1KSa9IZo/DBmCd0rF","type":"book","event-place":"Cham","ISBN":"978-3-030-72679-9","language":"en","note":"DOI: 10.1007/978-3-030-72680-5","publisher":"Springer International Publishing","publisher-place":"Cham","source":"DOI.org (Crossref)","title":"Governing the Pandemic: The Politics of Navigating a Mega-Crisis","title-short":"Governing the Pandemic","URL":"https://link.springer.com/10.1007/978-3-030-72680-5","author":[{"family":"Boin","given":"Arjen"},{"family":"McConnell","given":"Allan"},{"family":"Hart","given":"Paul","non-dropping-particle":"'t"}],"accessed":{"date-parts":[["2022",10,18]]},"issued":{"date-parts":[["2021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Consequently, there is no single political and territorial authority that can claim to “own” the transboundary crisis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{"citationID":"6zujOuEU","properties":{"formattedCitation":"(Boin &amp; Rhinard, 2008, p. 7)","plainCitation":"(Boin &amp; Rhinard, 2008, p. 7)","noteIndex":0},"citationItems":[{"id":4971,"uris":["http://zotero.org/users/10684127/items/3H6RERMW"],"itemData":{"id":4971,"type":"article-journal","abstract":"The nation-state faces an increasing number of what we refer to as \"transboundary threats.\" A transboundary threat is characterized by the potential to cross geographical and functional boundaries. These characteristics outstrip the capacity of nation-states and national bureaucracies that were designed to deal with more classic threats. The institutional challenge, we argue, is to build effective transboundary systems for managing these complex threats. In this essay, we ask what role the European Union can play in such an endeavor. We document the EU's growing crisis management and security capacities and offer an initial assessment of these capacities. We surmise that the EU will play a significant but rather circumscribed role, one which reflects the EU's unique system of supranational governance.","container-title":"International Studies Review","ISSN":"1521-9488","issue":"1","note":"publisher: [International Studies Association, Wiley]","page":"1-26","source":"JSTOR","title":"Managing Transboundary Crises: What Role for the European Union?","title-short":"Managing Transboundary Crises","volume":"10","author":[{"family":"Boin","given":"Arjen"},{"family":"Rhinard","given":"Mark"}],"issued":{"date-parts":[["2008"]]}},"locator":"7","label":"page"}],"schema":"https://github.com/citation-style-language/schema/raw/master/csl-citation.json"}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(Boin &amp; </w:t>
      </w:r>
      <w:proofErr w:type="spellStart"/>
      <w:r w:rsidRPr="00CF1465">
        <w:rPr>
          <w:rFonts w:ascii="Times New Roman" w:eastAsia="Times New Roman" w:hAnsi="Times New Roman" w:cs="Times New Roman"/>
          <w:lang w:val="en-GB" w:eastAsia="en-GB"/>
        </w:rPr>
        <w:t>Rhinard</w:t>
      </w:r>
      <w:proofErr w:type="spellEnd"/>
      <w:r w:rsidRPr="00CF1465">
        <w:rPr>
          <w:rFonts w:ascii="Times New Roman" w:eastAsia="Times New Roman" w:hAnsi="Times New Roman" w:cs="Times New Roman"/>
          <w:lang w:val="en-GB" w:eastAsia="en-GB"/>
        </w:rPr>
        <w:t>, 2008, p. 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Instead, many of the modern-day crises need to be </w:t>
      </w:r>
      <w:r w:rsidRPr="00CF1465">
        <w:rPr>
          <w:rFonts w:ascii="Times New Roman" w:eastAsia="Times New Roman" w:hAnsi="Times New Roman" w:cs="Times New Roman"/>
          <w:lang w:val="en-GB" w:eastAsia="en-GB"/>
        </w:rPr>
        <w:lastRenderedPageBreak/>
        <w:t xml:space="preserve">addressed by </w:t>
      </w:r>
      <w:r w:rsidRPr="00CF1465">
        <w:rPr>
          <w:rFonts w:ascii="Times New Roman" w:eastAsia="Times New Roman" w:hAnsi="Times New Roman" w:cs="Times New Roman"/>
          <w:i/>
          <w:iCs/>
          <w:lang w:val="en-GB" w:eastAsia="en-GB"/>
        </w:rPr>
        <w:t xml:space="preserve">multi-level </w:t>
      </w:r>
      <w:r w:rsidRPr="00CF1465">
        <w:rPr>
          <w:rFonts w:ascii="Times New Roman" w:eastAsia="Times New Roman" w:hAnsi="Times New Roman" w:cs="Times New Roman"/>
          <w:lang w:val="en-GB" w:eastAsia="en-GB"/>
        </w:rPr>
        <w:t xml:space="preserve">crisis management, whereby different layers of government – ranging from the local and regional to national and supranational – can be simultaneously involved in a crisis response. </w:t>
      </w:r>
    </w:p>
    <w:p w14:paraId="7C971BDF"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The complexity of MLG systems can however create a plethora of challenges for a transboundary crisis response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{"citationID":"pSTNb4ie","properties":{"formattedCitation":"(Carroll et al., 2025)","plainCitation":"(Carroll et al., 2025)","noteIndex":0},"citationItems":[{"id":1442,"uris":["http://zotero.org/users/10684127/items/L69ICS4L"],"itemData":{"id":1442,"type":"article-journal","abstract":"As the Covid-19 pandemic demanded coordinated action from governments at all levels, the role of federalism, decentralization, supranational authorities and other multilevel governance (MLG) institutions and processes in responses to it has come under much scholarly scrutiny. Three years on, much of this literature remains fragmented and in need of synthesis. In this systematic literature review we summarize the literature on the effects of MLG on governments’ policy responses to Covid-19. We identified 114 contributions and synthesized their findings. While the literature reveals much about national, subnational and local responses, it remains limited by a narrow set of research methods, limited comparisons, and a lack of specificity regarding the government response studied. We conclude by proposing a research agenda that adopts comparative designs spanning both federal and non-federal countries, that clearly demarcates the scope of the government response studied, and that explores government responses in later stages of the pandemic.","container-title":"Regional &amp; Federal Studies","DOI":"10.1080/13597566.2023.2292997","ISSN":"1359-7566","issue":"2","note":"publisher: Routledge\n_eprint: https://doi.org/10.1080/13597566.2023.2292997","page":"305-326","source":"Taylor and Francis+NEJM","title":"Multilevel governance and responses to the COVID-19 pandemic: a systematic literature review","title-short":"Multilevel governance and responses to the COVID-19 pandemic","volume":"35","author":[{"family":"Carroll","given":"Brendan J."},{"family":"Brummel","given":"Lars"},{"family":"Toshkov","given":"Dimiter"},{"family":"Yesilkagit","given":"Kutsal"}],"issued":{"date-parts":[["2025"]]}}}],"schema":"https://github.com/citation-style-language/schema/raw/master/csl-citation.json"}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(Carroll et al., 2025)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For example, the opening quote of Amsterdam’s mayor Halsema illustrates a difficult trade-off that regional and local units of governments can face when they are confronted with national regulations that they disagree with. Whereas Halsema considered an evening curfew, such as imposed by the Dutch national government in 2021, as an “disproportionate” and “irresponsible” measure, she decided to refrain from public criticism of the measure, out of concerns for legitimacy and national unity.</w:t>
      </w:r>
    </w:p>
    <w:p w14:paraId="4C152EF9"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 contrast, there have been instances where regional and local leaders across Europe openly challenged national directives during the Covid-19 pandemic. In the beginning of 2022, local mayors in Dutch border regions expressed their disagreements with national measures that were more stringent than those enforced in Belgium and Germany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{"citationID":"2sdpwM8o","properties":{"formattedCitation":"(Redactie Trouw, 2022)","plainCitation":"(Redactie Trouw, 2022)","noteIndex":0},"citationItems":[{"id":5071,"uris":["http://zotero.org/users/10684127/items/TBKFF64A"],"itemData":{"id":5071,"type":"webpage","abstract":"Zaterdag mogen horeca en cultuur in verschillende Zuid-Limburgde gemeenten de deuren openen, tegen de regels in, maar met de zegen van de burgemeester.","container-title":"Trouw","language":"nl","note":"section: Binnenland","title":"Burgemeesters Zuid-Limburg staan opening horeca en cultuur zaterdag toe","URL":"https://www.trouw.nl/binnenland/burgemeesters-zuid-limburg-staan-opening-horeca-en-cultuur-zaterdag-toe~b6d57342/","author":[{"family":"Redactie Trouw","given":"Redactie"}],"accessed":{"date-parts":[["2025",8,5]]},"issued":{"date-parts":[["2022",1,14]]}}}],"schema":"https://github.com/citation-style-language/schema/raw/master/csl-citation.json"}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Redactie</w:t>
      </w:r>
      <w:proofErr w:type="spellEnd"/>
      <w:r w:rsidRPr="00CF1465">
        <w:rPr>
          <w:rFonts w:ascii="Times New Roman" w:eastAsia="Times New Roman" w:hAnsi="Times New Roman" w:cs="Times New Roman"/>
          <w:lang w:val="en-GB" w:eastAsia="en-GB"/>
        </w:rPr>
        <w:t xml:space="preserve"> </w:t>
      </w:r>
      <w:proofErr w:type="spellStart"/>
      <w:r w:rsidRPr="00CF1465">
        <w:rPr>
          <w:rFonts w:ascii="Times New Roman" w:eastAsia="Times New Roman" w:hAnsi="Times New Roman" w:cs="Times New Roman"/>
          <w:lang w:val="en-GB" w:eastAsia="en-GB"/>
        </w:rPr>
        <w:t>Trouw</w:t>
      </w:r>
      <w:proofErr w:type="spellEnd"/>
      <w:r w:rsidRPr="00CF1465">
        <w:rPr>
          <w:rFonts w:ascii="Times New Roman" w:eastAsia="Times New Roman" w:hAnsi="Times New Roman" w:cs="Times New Roman"/>
          <w:lang w:val="en-GB" w:eastAsia="en-GB"/>
        </w:rPr>
        <w:t>,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Spain, Joaquim Torra, regional president of Catalonia, voiced strong critique to the national government in Madrid for its lack of decisive action at the start of the pandemic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{"citationID":"lGeFFVWr","properties":{"formattedCitation":"(Baquero &amp; Mouzo, 2020)","plainCitation":"(Baquero &amp; Mouzo, 2020)","noteIndex":0},"citationItems":[{"id":5069,"uris":["http://zotero.org/users/10684127/items/XDQ4PNTZ"],"itemData":{"id":5069,"type":"article-newspaper","abstract":"El líder catalán intenta marcar territorio con la crisis, incluso a costa de alejar a consejeros y asesores","container-title":"El País","language":"es","note":"section: Cataluña","title":"El gran confinamiento de Quim Torra","URL":"https://elpais.com/espana/catalunya/2020-04-26/el-gran-confinamiento-de-quim-torra.html","author":[{"family":"Baquero","given":"Camilo S."},{"family":"Mouzo","given":"Jessica"}],"accessed":{"date-parts":[["2025",8,5]]},"issued":{"date-parts":[["2020",4,27]]}}}],"schema":"https://github.com/citation-style-language/schema/raw/master/csl-citation.json"}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(Baquero &amp; </w:t>
      </w:r>
      <w:proofErr w:type="spellStart"/>
      <w:r w:rsidRPr="00CF1465">
        <w:rPr>
          <w:rFonts w:ascii="Times New Roman" w:eastAsia="Times New Roman" w:hAnsi="Times New Roman" w:cs="Times New Roman"/>
          <w:lang w:val="en-GB" w:eastAsia="en-GB"/>
        </w:rPr>
        <w:t>Mouzo</w:t>
      </w:r>
      <w:proofErr w:type="spellEnd"/>
      <w:r w:rsidRPr="00CF1465">
        <w:rPr>
          <w:rFonts w:ascii="Times New Roman" w:eastAsia="Times New Roman" w:hAnsi="Times New Roman" w:cs="Times New Roman"/>
          <w:lang w:val="en-GB" w:eastAsia="en-GB"/>
        </w:rPr>
        <w:t>, 2020)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The Flemish minister of education, Ben Weyts, distanced himself on multiple occasions from federal attempts for introducing school closures in Belgium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{"citationID":"lr1LgVZr","properties":{"formattedCitation":"(Arnoudt, 2021)","plainCitation":"(Arnoudt, 2021)","noteIndex":0},"citationItems":[{"id":5065,"uris":["http://zotero.org/users/10684127/items/W8VXG39Z"],"itemData":{"id":5065,"type":"webpage","abstract":"Negen dagen lang haalde Vlaams minister van Onderwijs Ben Weyts (N-VA) alles uit de kast om de scholen open te houden tegen een achtergrond van stijgende coronacijfers. Maar zijn devies \"scholen zijn niet de motor van de pandemie\" mocht niet baten: volgende week gaan de meeste scholen dicht in een poging om de verspreiding van het virus een halt toe te roepen. Een strijd van David tegen Goliat als het ware, met Ben Weyts in de rol van David en het Overlegcomité in de rol van Goliat. Alleen heeft David het hier niet gehaald.","container-title":"VRTNWS","language":"nl","title":"Scholen dicht of niet? Een kroniek van politiek gehakketak, stoere taal en verwarrende communicatie","title-short":"Scholen dicht of niet?","URL":"https://www.vrt.be/vrtnws/nl/2021/03/26/scholen-sluiten-of-niet-reconstructie-van-woelige-discussie-ove/","author":[{"family":"Arnoudt","given":"Rik"}],"accessed":{"date-parts":[["2025",8,5]]},"issued":{"date-parts":[["2021",3,26]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Arnoudt</w:t>
      </w:r>
      <w:proofErr w:type="spellEnd"/>
      <w:r w:rsidRPr="00CF1465">
        <w:rPr>
          <w:rFonts w:ascii="Times New Roman" w:eastAsia="Times New Roman" w:hAnsi="Times New Roman" w:cs="Times New Roman"/>
          <w:lang w:val="en-GB" w:eastAsia="en-GB"/>
        </w:rPr>
        <w:t>,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And, in Germany, Chancellor Angela Merkel faced public conflicts with heads of government of some of the 16 German </w:t>
      </w:r>
      <w:r w:rsidRPr="00CF1465">
        <w:rPr>
          <w:rFonts w:ascii="Times New Roman" w:eastAsia="Times New Roman" w:hAnsi="Times New Roman" w:cs="Times New Roman"/>
          <w:i/>
          <w:iCs/>
          <w:lang w:val="en-GB" w:eastAsia="en-GB"/>
        </w:rPr>
        <w:t xml:space="preserve">Länder </w:t>
      </w:r>
      <w:r w:rsidRPr="00CF1465">
        <w:rPr>
          <w:rFonts w:ascii="Times New Roman" w:eastAsia="Times New Roman" w:hAnsi="Times New Roman" w:cs="Times New Roman"/>
          <w:lang w:val="en-GB" w:eastAsia="en-GB"/>
        </w:rPr>
        <w:t xml:space="preserve">on Covid-19 restrictions in the winter of 2020/21. For example, Bodo Ramelow, Minister President of Thuringia, strongly and openly disagreed with the federal government's attempts to toughen restrictions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{"citationID":"dELTFxke","properties":{"formattedCitation":"(Hagen et al., 2021)","plainCitation":"(Hagen et al., 2021)","noteIndex":0},"citationItems":[{"id":5067,"uris":["http://zotero.org/users/10684127/items/5TZRQCRG"],"itemData":{"id":5067,"type":"article-newspaper","abstract":"Vor Kurzem noch wetterte er gegen den Lockdown-Druck aus dem Kanzleramt, jetzt gibt Bodo Ramelow Angela Merkel recht und inszeniert sich als harter Corona-Bekämpfer. In Thüringen tobt das Virus – und der Wahlkampf.","container-title":"Der Spiegel","ISSN":"2195-1349","language":"de","section":"Politik","source":"www.spiegel.de","title":"(S+) Bodo Ramelows Corona-Kehrtwende: Der Söder des Ostens","title-short":"(S+) Bodo Ramelows Corona-Kehrtwende","URL":"https://www.spiegel.de/politik/deutschland/bodo-ramelow-ist-ploetzlich-der-soeder-des-ostens-a-e4f9ce0b-aa37-472e-b94d-df16e9e78e49","author":[{"family":"Hagen","given":"Kevin"},{"family":"Lehmann","given":"Timo"},{"family":"Rosenfelder","given":"Lydia"}],"accessed":{"date-parts":[["2025",8,5]]},"issued":{"date-parts":[["2021",1,12]]}}}],"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(Hagen et al.,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w:t>
      </w:r>
    </w:p>
    <w:p w14:paraId="63B7F520"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Intergovernmental conflicts, as the examples described above, can not only challenge the effectiveness of crisis governance, but also its legitimacy. But how can legitimate crisis governance be achieved and guaranteed in MLG systems? Given the importance of legitimacy for successful crisis governance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{"citationID":"pjIiKtWY","properties":{"formattedCitation":"(Christensen et al., 2016)","plainCitation":"(Christensen et al., 2016)","noteIndex":0},"citationItems":[{"id":"p8bpfMTc/maxcEoHx","uris":["http://zotero.org/users/5191464/items/YY8LV5XC"],"itemData":{"id":"p8bpfMTc/maxcEoHx","type":"article-journal","abstract":"What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(Christensen et al., 2016)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this chapter explores the legitimacy trade-offs that political authorities face during transboundary crisis management within MLG systems. Our main argument is that, </w:t>
      </w:r>
      <w:r w:rsidRPr="00CF1465">
        <w:rPr>
          <w:rFonts w:ascii="Times New Roman" w:eastAsia="Times New Roman" w:hAnsi="Times New Roman" w:cs="Times New Roman"/>
          <w:lang w:val="en-GB" w:eastAsia="en-GB"/>
        </w:rPr>
        <w:lastRenderedPageBreak/>
        <w:t xml:space="preserve">during transboundary crises, MLG systems present political authorities with two intertwined legitimacy dilemmas. </w:t>
      </w:r>
    </w:p>
    <w:p w14:paraId="2343B155"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 the first place, transboundary crises provide political authorities in MLG systems with an important </w:t>
      </w:r>
      <w:r w:rsidRPr="00CF1465">
        <w:rPr>
          <w:rFonts w:ascii="Times New Roman" w:eastAsia="Times New Roman" w:hAnsi="Times New Roman" w:cs="Times New Roman"/>
          <w:i/>
          <w:iCs/>
          <w:lang w:val="en-GB" w:eastAsia="en-GB"/>
        </w:rPr>
        <w:t>policy</w:t>
      </w:r>
      <w:r w:rsidRPr="00CF1465">
        <w:rPr>
          <w:rFonts w:ascii="Times New Roman" w:eastAsia="Times New Roman" w:hAnsi="Times New Roman" w:cs="Times New Roman"/>
          <w:lang w:val="en-GB" w:eastAsia="en-GB"/>
        </w:rPr>
        <w:t xml:space="preserve"> challenge. Transboundary crises rarely affect territories equally, but have the tendency to create a differentiated impact for different towns, regions or countries. As Schakel and </w:t>
      </w:r>
      <w:proofErr w:type="spellStart"/>
      <w:r w:rsidRPr="00CF1465">
        <w:rPr>
          <w:rFonts w:ascii="Times New Roman" w:eastAsia="Times New Roman" w:hAnsi="Times New Roman" w:cs="Times New Roman"/>
          <w:lang w:val="en-GB" w:eastAsia="en-GB"/>
        </w:rPr>
        <w:t>Verdoes</w:t>
      </w:r>
      <w:proofErr w:type="spellEnd"/>
      <w:r w:rsidRPr="00CF1465">
        <w:rPr>
          <w:rFonts w:ascii="Times New Roman" w:eastAsia="Times New Roman" w:hAnsi="Times New Roman" w:cs="Times New Roman"/>
          <w:lang w:val="en-GB" w:eastAsia="en-GB"/>
        </w:rPr>
        <w:t xml:space="preserve"> (Chapter 1 of this volume) show, territorial differentiation reflects a strategy that has been broadly adopted in various European democracies between 2020 and 2022 in response to the Covid-19 pandemic. Such a territorially differentiated approach can contribute to the efficiency and effectiveness of crisis interventions, but, at same time, provides a legitimacy dilemma for political authorities, in which they have to decide between, on the one hand, the national coherence and uniformity in crisis management, on the other hand, the regional diversity and flexibility of crisis interventions.</w:t>
      </w:r>
    </w:p>
    <w:p w14:paraId="76F6C226"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 MLG systems, this policy trade-off is often combined with </w:t>
      </w:r>
      <w:r w:rsidRPr="00CF1465">
        <w:rPr>
          <w:rFonts w:ascii="Times New Roman" w:eastAsia="Times New Roman" w:hAnsi="Times New Roman" w:cs="Times New Roman"/>
          <w:i/>
          <w:iCs/>
          <w:lang w:val="en-GB" w:eastAsia="en-GB"/>
        </w:rPr>
        <w:t>political</w:t>
      </w:r>
      <w:r w:rsidRPr="00CF1465">
        <w:rPr>
          <w:rFonts w:ascii="Times New Roman" w:eastAsia="Times New Roman" w:hAnsi="Times New Roman" w:cs="Times New Roman"/>
          <w:lang w:val="en-GB" w:eastAsia="en-GB"/>
        </w:rPr>
        <w:t xml:space="preserve"> trade-off which concerns the distribution of authority across different levels of government in responding to a transboundary crisis. At the onset of a transboundary crisis, political authorities can be confronted with pressures that could foster both centralization and decentralization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{"citationID":"ojaZAbmI","properties":{"formattedCitation":"(Hegele &amp; Schnabel, 2021)","plainCitation":"(Hegele &amp; Schnabel, 2021)","noteIndex":0},"citationItems":[{"id":714,"uris":["http://zotero.org/users/10684127/items/TFYHPQFB"],"itemData":{"id":714,"type":"article-journal","abstract":"The ability of federal states to manage the COVID-19 pandemic has created much debate. Federations differ considerably in the way they have been tackling the crisis, however. To shed light on how European federations (Austria, Germany, Switzerland) managed COVID-19, this paper distinguishes two dimensions of federal decision making: centralised/decentralised and unilateral/coordinated decision making. Drawing on official government documents and press reports, it examines decisions on the introduction of containment measures and their subsequent easing during the first wave. While Austria and Switzerland adopted a centralised approach, decentralised decision making prevailed in Germany. However, most decisions were coordinated between the governments at the federal and constituent unit level in Austria and Germany, in contrast to Switzerland where unilateralism prevailed. This difference in approaches can partly be explained by the distribution of powers. Political and economic factors also influenced the choice of crisis management strategies.","container-title":"West European Politics","DOI":"10.1080/01402382.2021.1873529","ISSN":"0140-2382","issue":"5-6","note":"publisher: Routledge\n_eprint: https://doi.org/10.1080/01402382.2021.1873529","page":"1052-1076","source":"Taylor and Francis+NEJM","title":"Federalism and the management of the COVID-19 crisis: centralisation, decentralisation and (non-)coordination","title-short":"Federalism and the management of the COVID-19 crisis","volume":"44","author":[{"family":"Hegele","given":"Yvonne"},{"family":"Schnabel","given":"Johanna"}],"issued":{"date-parts":[["2021",9,19]]}}}],"schema":"https://github.com/citation-style-language/schema/raw/master/csl-citation.json"}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(Hegele &amp; Schnabel,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According to Schakel and </w:t>
      </w:r>
      <w:proofErr w:type="spellStart"/>
      <w:r w:rsidRPr="00CF1465">
        <w:rPr>
          <w:rFonts w:ascii="Times New Roman" w:eastAsia="Times New Roman" w:hAnsi="Times New Roman" w:cs="Times New Roman"/>
          <w:lang w:val="en-GB" w:eastAsia="en-GB"/>
        </w:rPr>
        <w:t>Verdoes</w:t>
      </w:r>
      <w:proofErr w:type="spellEnd"/>
      <w:r w:rsidRPr="00CF1465">
        <w:rPr>
          <w:rFonts w:ascii="Times New Roman" w:eastAsia="Times New Roman" w:hAnsi="Times New Roman" w:cs="Times New Roman"/>
          <w:lang w:val="en-GB" w:eastAsia="en-GB"/>
        </w:rPr>
        <w:t xml:space="preserve"> (Chapter 1), there was a variety of Covid-19 governmental responses in European democracies, whereby subnational authority increased in some countries but decreased in other parts of Europe. How power and responsibilities are distributed across multiple layers of government during a crisis, can have consequences for how citizens perceive the legitimacy of a transboundary crisis response.</w:t>
      </w:r>
    </w:p>
    <w:p w14:paraId="73831573"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To develop our theoretical argument further, the outline of our Chapter is as follows. We continue our chapter with defining crises and providing an overview of different types of crises, including transboundary crises. After that, we discuss how transboundary crisis management takes place in MLG systems. We move our focus to the legitimacy trade-offs within multi-level crisis governance, including both </w:t>
      </w:r>
      <w:r w:rsidRPr="00CF1465">
        <w:rPr>
          <w:rFonts w:ascii="Times New Roman" w:eastAsia="Times New Roman" w:hAnsi="Times New Roman" w:cs="Times New Roman"/>
          <w:i/>
          <w:iCs/>
          <w:lang w:val="en-GB" w:eastAsia="en-GB"/>
        </w:rPr>
        <w:t>horizontal</w:t>
      </w:r>
      <w:r w:rsidRPr="00CF1465">
        <w:rPr>
          <w:rFonts w:ascii="Times New Roman" w:eastAsia="Times New Roman" w:hAnsi="Times New Roman" w:cs="Times New Roman"/>
          <w:lang w:val="en-GB" w:eastAsia="en-GB"/>
        </w:rPr>
        <w:t xml:space="preserve"> and </w:t>
      </w:r>
      <w:r w:rsidRPr="00CF1465">
        <w:rPr>
          <w:rFonts w:ascii="Times New Roman" w:eastAsia="Times New Roman" w:hAnsi="Times New Roman" w:cs="Times New Roman"/>
          <w:i/>
          <w:iCs/>
          <w:lang w:val="en-GB" w:eastAsia="en-GB"/>
        </w:rPr>
        <w:t>vertical</w:t>
      </w:r>
      <w:r w:rsidRPr="00CF1465">
        <w:rPr>
          <w:rFonts w:ascii="Times New Roman" w:eastAsia="Times New Roman" w:hAnsi="Times New Roman" w:cs="Times New Roman"/>
          <w:lang w:val="en-GB" w:eastAsia="en-GB"/>
        </w:rPr>
        <w:t xml:space="preserve"> dilemmas. We conclude our chapter by discussing the main implications of these trade-offs for securing legitimate crisis governance within MLG systems.</w:t>
      </w:r>
    </w:p>
    <w:p w14:paraId="06DAE17B"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p>
    <w:p w14:paraId="1608D32C"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kern w:val="32"/>
          <w:szCs w:val="32"/>
          <w:lang w:val="en-GB" w:eastAsia="en-GB"/>
        </w:rPr>
      </w:pPr>
      <w:bookmarkStart w:id="3" w:name="_Hlk205469124"/>
      <w:r w:rsidRPr="00CF1465">
        <w:rPr>
          <w:rFonts w:ascii="Times New Roman" w:eastAsia="Times New Roman" w:hAnsi="Times New Roman" w:cs="Arial"/>
          <w:b/>
          <w:bCs/>
          <w:kern w:val="32"/>
          <w:szCs w:val="32"/>
          <w:lang w:val="en-GB" w:eastAsia="en-GB"/>
        </w:rPr>
        <w:t>Defining crises</w:t>
      </w:r>
    </w:p>
    <w:bookmarkEnd w:id="3"/>
    <w:p w14:paraId="6B9A0E42"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First of all, what is actually meant by a “crisis”? Crises have been studied in a range of different disciplines, including political science, public administration, sociology, anthropology, psychology and legal studies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{"citationID":"QxN5uzFN","properties":{"formattedCitation":"(Boin et al., 2018; Carroll et al., 2025)","plainCitation":"(Boin et al., 2018; Carroll et al., 2025)","noteIndex":0},"citationItems":[{"id":586,"uris":["http://zotero.org/users/10684127/items/4VK4QVCM"],"itemData":{"id":586,"type":"chapter","abstract":"Disaster researchers do not make much use of the term “crisis” and when they do, it is often used as a synonym for “disaster”. We argue that the use of these terms implies differences in analytical perspective. In this chapter, we outline the crisis approach and explain how it is different from a disaster approach. The crisis approach is fundamentally interdisciplinary in nature, drawing together insights from public administration, sociology, psychology and political science. We explicate the underlying assumptions of this approach and show that this approach helps to recognize the most important challenges for political and administrative leaders during crises and disasters. We argue that the crisis and disaster perspectives are largely complementary and mutually informative.","collection-title":"Handbooks of Sociology and Social Research","container-title":"Handbook of Disaster Research","event-place":"Cham","ISBN":"978-3-319-63254-4","language":"en","note":"DOI: 10.1007/978-3-319-63254-4_2","page":"23-38","publisher":"Springer International Publishing","publisher-place":"Cham","source":"Springer Link","title":"The Crisis Approach","URL":"https://doi.org/10.1007/978-3-319-63254-4_2","author":[{"family":"Boin","given":"Arjen"},{"family":"Hart","given":"Paul ‘t"},{"family":"Kuipers","given":"Sanneke"}],"editor":[{"family":"Rodríguez","given":"Havidán"},{"family":"Donner","given":"William"},{"family":"Trainor","given":"Joseph E."}],"accessed":{"date-parts":[["2022",12,14]]},"issued":{"date-parts":[["2018"]]}}},{"id":1442,"uris":["http://zotero.org/users/10684127/items/L69ICS4L"],"itemData":{"id":1442,"type":"article-journal","abstract":"As the Covid-19 pandemic demanded coordinated action from governments at all levels, the role of federalism, decentralization, supranational authorities and other multilevel governance (MLG) institutions and processes in responses to it has come under much scholarly scrutiny. Three years on, much of this literature remains fragmented and in need of synthesis. In this systematic literature review we summarize the literature on the effects of MLG on governments’ policy responses to Covid-19. We identified 114 contributions and synthesized their findings. While the literature reveals much about national, subnational and local responses, it remains limited by a narrow set of research methods, limited comparisons, and a lack of specificity regarding the government response studied. We conclude by proposing a research agenda that adopts comparative designs spanning both federal and non-federal countries, that clearly demarcates the scope of the government response studied, and that explores government responses in later stages of the pandemic.","container-title":"Regional &amp; Federal Studies","DOI":"10.1080/13597566.2023.2292997","ISSN":"1359-7566","issue":"2","note":"publisher: Routledge\n_eprint: https://doi.org/10.1080/13597566.2023.2292997","page":"305-326","source":"Taylor and Francis+NEJM","title":"Multilevel governance and responses to the COVID-19 pandemic: a systematic literature review","title-short":"Multilevel governance and responses to the COVID-19 pandemic","volume":"35","author":[{"family":"Carroll","given":"Brendan J."},{"family":"Brummel","given":"Lars"},{"family":"Toshkov","given":"Dimiter"},{"family":"Yesilkagit","given":"Kutsal"}],"issued":{"date-parts":[["2025"]]}}}],"schema":"https://github.com/citation-style-language/schema/raw/master/csl-citation.json"}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2018; Carroll et al., 2025)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resulting into a large variety of definitions and approaches. In the political science and public administration literature, Rosenthal et al.’s (1989) crisis definition has become one of the most important and influential contributions, and they refer to a crisis as “a serious threat to the basic structures or the fundamental values and norms of a social system, which – under time pressure and highly uncertain circumstances – necessitates making critical decisions”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{"citationID":"3pTq3SgD","properties":{"formattedCitation":"(Rosenthal et al., 1989, p. 10)","plainCitation":"(Rosenthal et al., 1989, p. 10)","noteIndex":0},"citationItems":[{"id":"p8bpfMTc/v4K4x78I","uris":["http://zotero.org/users/5191464/items/ISWZGQHP"],"itemData":{"id":2975,"type":"book","event-place":"Springfield, Ill., U.S.A","ISBN":"978-0-398-05597-4","language":"English","number-of-pages":"485","publisher-place":"Springfield, Ill., U.S.A","source":"Amazon","title":"Coping With Crises: The Management of Disasters, Riots, and Terrorism","title-short":"Coping With Crises","author":[{"family":"Rosenthal","given":"Uriel"},{"family":"Charles","given":"Michael T."},{"family":"Hart","given":"Paul","non-dropping-particle":"'t"}],"issued":{"date-parts":[["1989"]]}},"locator":"p. 10","label":"page"}],"schema":"https://github.com/citation-style-language/schema/raw/master/csl-citation.json"}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(Rosenthal et al., 1989, p. 10)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Following this definition, crises consist of three main elements: threat, urgency, and uncertainty. First, crises represent situations where the core values, life-sustaining systems or critical infrastructures of a community are </w:t>
      </w:r>
      <w:r w:rsidRPr="00CF1465">
        <w:rPr>
          <w:rFonts w:ascii="Times New Roman" w:eastAsia="Times New Roman" w:hAnsi="Times New Roman" w:cs="Times New Roman"/>
          <w:i/>
          <w:iCs/>
          <w:lang w:val="en-GB" w:eastAsia="en-GB"/>
        </w:rPr>
        <w:t>threatened</w:t>
      </w:r>
      <w:r w:rsidRPr="00CF1465">
        <w:rPr>
          <w:rFonts w:ascii="Times New Roman" w:eastAsia="Times New Roman" w:hAnsi="Times New Roman" w:cs="Times New Roman"/>
          <w:lang w:val="en-GB" w:eastAsia="en-GB"/>
        </w:rPr>
        <w:t xml:space="preserve">. Second, crises also include a sense of </w:t>
      </w:r>
      <w:r w:rsidRPr="00CF1465">
        <w:rPr>
          <w:rFonts w:ascii="Times New Roman" w:eastAsia="Times New Roman" w:hAnsi="Times New Roman" w:cs="Times New Roman"/>
          <w:i/>
          <w:iCs/>
          <w:lang w:val="en-GB" w:eastAsia="en-GB"/>
        </w:rPr>
        <w:t>urgency</w:t>
      </w:r>
      <w:r w:rsidRPr="00CF1465">
        <w:rPr>
          <w:rFonts w:ascii="Times New Roman" w:eastAsia="Times New Roman" w:hAnsi="Times New Roman" w:cs="Times New Roman"/>
          <w:lang w:val="en-GB" w:eastAsia="en-GB"/>
        </w:rPr>
        <w:t xml:space="preserve">: “the threat is here, it is real and must be dealt with now”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{"citationID":"mgZV7tiY","properties":{"formattedCitation":"(Boin et al., 2005, p. 6)","plainCitation":"(Boin et al., 2005, p. 6)","noteIndex":0},"citationItems":[{"id":"p8bpfMTc/fk4pLIK3","uris":["http://zotero.org/users/5191464/items/5GJAM8EX"],"itemData":{"id":"DH28jFje/j8lOw3BW","type":"book","abstract":"Crisis management has become a defining feature of contemporary governance. In times of crisis, communities and members of organizations expect their leaders to minimize the impact of the crisis at hand, while critics and bureaucratic competitors try to seize the moment to blame incumbent rulers and their policies. In this extreme environment, policy makers must somehow establish a sense of normality, and foster collective learning from the crisis experience. In this uniquely comprehensive analysis, the authors examine how leaders deal with the strategic challenges they face, the political risks and opportunities they encounter, the errors they make, the pitfalls they need to avoid, and the paths away from crisis they may pursue. This book is grounded in over a decade of collaborative, cross-national case study research, and offers an invaluable multidisciplinary perspective. This is an original and important contribution from experts in public policy and international security.","event-place":"Cambridge","note":"DOI: 10.1017/CBO9780511490880","publisher":"Cambridge University Press","publisher-place":"Cambridge","source":"Cambridge University Press","title":"The Politics of Crisis Management: Public Leadership Under Pressure","title-short":"The Politics of Crisis Management","URL":"https://www.cambridge.org/core/books/politics-of-crisis-management/D91A08EC1089E0463A1BEDBF244176FA","author":[{"family":"Boin","given":"Arjen"},{"family":"Hart","given":"Paul","non-dropping-particle":"'t"},{"family":"Stern","given":"Eric"},{"family":"Sundelius","given":"Bengt"}],"accessed":{"date-parts":[["2022",11,6]]},"issued":{"date-parts":[["2005"]]}},"locator":"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(Boin et al., 2005, p. 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Third, the urgent threat that is posed by a crisis is further combined with deep </w:t>
      </w:r>
      <w:r w:rsidRPr="00CF1465">
        <w:rPr>
          <w:rFonts w:ascii="Times New Roman" w:eastAsia="Times New Roman" w:hAnsi="Times New Roman" w:cs="Times New Roman"/>
          <w:i/>
          <w:iCs/>
          <w:lang w:val="en-GB" w:eastAsia="en-GB"/>
        </w:rPr>
        <w:t>uncertainty</w:t>
      </w:r>
      <w:r w:rsidRPr="00CF1465">
        <w:rPr>
          <w:rFonts w:ascii="Times New Roman" w:eastAsia="Times New Roman" w:hAnsi="Times New Roman" w:cs="Times New Roman"/>
          <w:lang w:val="en-GB" w:eastAsia="en-GB"/>
        </w:rPr>
        <w:t xml:space="preserve"> about its nature and potential impact.</w:t>
      </w:r>
    </w:p>
    <w:p w14:paraId="1021DA90"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Importantly, crises are not objective realities, but they – and their elements – are social constructions. What is considered to be a crisis includes a subjective element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{"citationID":"5eVGs6LR","properties":{"formattedCitation":"(Christensen et al., 2016)","plainCitation":"(Christensen et al., 2016)","noteIndex":0},"citationItems":[{"id":"p8bpfMTc/maxcEoHx","uris":["http://zotero.org/users/5191464/items/YY8LV5XC"],"itemData":{"id":"1KSa9IZo/8ZLv8VmM","type":"article-journal","abstract":"What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(Christensen et al., 2016)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and the classification of events as ‘crises’ often reflects political framing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{"citationID":"525l3g8Z","properties":{"formattedCitation":"(Boin et al., 2009)","plainCitation":"(Boin et al., 2009)","noteIndex":0},"citationItems":[{"id":1234,"uris":["http://zotero.org/users/10684127/items/Z84VGHJW"],"itemData":{"id":1234,"type":"article-journal","abstract":"When societies are confronted with major, disruptive emergencies, the fate of politicians and public policies hangs in the balance. Both government actors and their critics will try to escape blame for their occurrence, consolidate/strengthen their political capital, and advance/defend the policies they stand for. Crises thus generate framing contests to interpret events, their causes, and the responsibilities and lessons involved in ways that suit their political purposes and visions of future policy directions. This article dissects these processes and articulates foundations for a theory of crisis exploitation. Drawing on 15 cases of crisis-induced framing contests, we identify potentially crucial factors that may explain both the political (effects on incumbent office-holders/institutions) and policy (effects on programs) impacts of crises.","container-title":"Journal of European Public Policy","DOI":"10.1080/13501760802453221","ISSN":"1350-1763","issue":"1","page":"81-106","source":"Taylor and Francis+NEJM","title":"Crisis exploitation: political and policy impacts of framing contests","title-short":"Crisis exploitation","volume":"16","author":[{"family":"Boin","given":"Arjen"},{"family":"Hart","given":"Paul","non-dropping-particle":"'t"},{"family":"McConnell","given":"Allan"}],"issued":{"date-parts":[["2009",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2009)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As Rosenthal and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{"citationID":"mBvLopZP","properties":{"formattedCitation":"(1997, p. 285)","plainCitation":"(1997, p. 285)","noteIndex":0},"citationItems":[{"id":"p8bpfMTc/J0tiNzNd","uris":["http://zotero.org/users/5191464/items/3CT8MT7C"],"itemData":{"id":"DH28jFje/Zad4caYE","type":"article-journal","abstract":"Industrial Society is susceptibile to catastrophic events, including technological disasters and social and political crises. Risk, uncertainty, crisis, collective stress, and \"normal accidents\" now need to be incorporated into a broader understanding of how governments and decision makers respond to the un-ness of crisis situations: unpleasantness in unexpected circumstances, representing unscheduled events, unprecedented in their implications and, by normal routine standards, almost unmanageable.","container-title":"Journal of Public Administration Research and Theory","DOI":"10.1093/oxfordjournals.jpart.a024349","ISSN":"1053-1858, 1477-9803","issue":"2","journalAbbreviation":"Journal of Public Administration Research and Theory","language":"en","page":"277-304","source":"DOI.org (Crossref)","title":"Crises and Crisis Management: Toward Comprehensive Government Decision Making","title-short":"Crises and Crisis Management","volume":"7","author":[{"family":"Rosenthal","given":"U."},{"family":"Kouzmin","given":"A."}],"issued":{"date-parts":[["1997",4,1]]}},"locator":"285","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(1997, p. 285)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argue, “[c]rises are in the eyes of their beholders; if individuals (and the media) define a situation as a crisis, it is a crisis in its consequences”. Perceptions of a crisis can widely differ both within and between communities. The same event may be interpreted as a mere misfortune or a severe threat, but also as an opportunity for necessary change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{"citationID":"f287d8X6","properties":{"formattedCitation":"(Boin et al., 2009)","plainCitation":"(Boin et al., 2009)","noteIndex":0},"citationItems":[{"id":1234,"uris":["http://zotero.org/users/10684127/items/Z84VGHJW"],"itemData":{"id":1234,"type":"article-journal","abstract":"When societies are confronted with major, disruptive emergencies, the fate of politicians and public policies hangs in the balance. Both government actors and their critics will try to escape blame for their occurrence, consolidate/strengthen their political capital, and advance/defend the policies they stand for. Crises thus generate framing contests to interpret events, their causes, and the responsibilities and lessons involved in ways that suit their political purposes and visions of future policy directions. This article dissects these processes and articulates foundations for a theory of crisis exploitation. Drawing on 15 cases of crisis-induced framing contests, we identify potentially crucial factors that may explain both the political (effects on incumbent office-holders/institutions) and policy (effects on programs) impacts of crises.","container-title":"Journal of European Public Policy","DOI":"10.1080/13501760802453221","ISSN":"1350-1763","issue":"1","page":"81-106","source":"Taylor and Francis+NEJM","title":"Crisis exploitation: political and policy impacts of framing contests","title-short":"Crisis exploitation","volume":"16","author":[{"family":"Boin","given":"Arjen"},{"family":"Hart","given":"Paul","non-dropping-particle":"'t"},{"family":"McConnell","given":"Allan"}],"issued":{"date-parts":[["2009",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2009)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For example, the influx of refugees in Europe in 2015-2016 illustrates this. The increasing number of asylum-seekers at the borders of European states was framed as a ‘migration crisis’ in the public sphere, but such framing was also contested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{"citationID":"E50ErsYd","properties":{"formattedCitation":"(Greussing &amp; Boomgaarden, 2017)","plainCitation":"(Greussing &amp; Boomgaarden, 2017)","noteIndex":0},"citationItems":[{"id":707,"uris":["http://zotero.org/users/10684127/items/J27U3VJJ"],"itemData":{"id":707,"type":"article-journal","abstract":"In 2015, Europe faced the arrival of over 1.25 million refugees fleeing from war-affected countries. The public mainly learned about this issue through domestic media. Through the use of computer-assisted content analysis, this study identifies the most dominant frames employed in the coverage of refugee and asylum issues between January 2015 and January 2016 in six Austrian newspapers (N = 10,606), particularly focusing on potential differences between quality and tabloid media, and on frame variations over time. The findings reveal that, apart from administrative aspects of coping with the arrivals, established narratives of security threat and economisation are most prominent. Humanitarianism frames and background information on the refugees’ situation are provided to a lesser extent. During the most intense phases of the crisis, the framing patterns of tabloid and quality media become highly similar. Media coverage broadens to multiple prominent frames as issue salience sharply increases, and then ‘crystallises’ into a more narrow set. In sum, the results confirm a predominance of stereotyped interpretations of refugee and asylum issues, and thus persisting journalistic routines in both, tabloid and quality media, even in times of a major political and humanitarian crisis.","container-title":"Journal of Ethnic and Migration Studies","DOI":"10.1080/1369183X.2017.1282813","ISSN":"1369-183X","issue":"11","note":"publisher: Routledge\n_eprint: https://doi.org/10.1080/1369183X.2017.1282813","page":"1749-1774","source":"Taylor and Francis+NEJM","title":"Shifting the refugee narrative? An automated frame analysis of Europe’s 2015 refugee crisis","title-short":"Shifting the refugee narrative?","volume":"43","author":[{"family":"Greussing","given":"Esther"},{"family":"Boomgaarden","given":"Hajo G."}],"issued":{"date-parts":[["2017",8,18]]}}}],"schema":"https://github.com/citation-style-language/schema/raw/master/csl-citation.json"}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w:t>
      </w:r>
      <w:proofErr w:type="spellStart"/>
      <w:r w:rsidRPr="00CF1465">
        <w:rPr>
          <w:rFonts w:ascii="Times New Roman" w:eastAsia="Calibri" w:hAnsi="Times New Roman" w:cs="Times New Roman"/>
          <w:lang w:val="en-GB" w:eastAsia="en-GB"/>
        </w:rPr>
        <w:t>Greussing</w:t>
      </w:r>
      <w:proofErr w:type="spellEnd"/>
      <w:r w:rsidRPr="00CF1465">
        <w:rPr>
          <w:rFonts w:ascii="Times New Roman" w:eastAsia="Calibri" w:hAnsi="Times New Roman" w:cs="Times New Roman"/>
          <w:lang w:val="en-GB" w:eastAsia="en-GB"/>
        </w:rPr>
        <w:t xml:space="preserve"> &amp; Boomgaarden, 2017)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7DCA7F08" w14:textId="77777777" w:rsidR="00CC5602" w:rsidRPr="00CF1465" w:rsidRDefault="00CC5602" w:rsidP="00CC5602">
      <w:pPr>
        <w:spacing w:after="0" w:line="480" w:lineRule="auto"/>
        <w:rPr>
          <w:rFonts w:ascii="Times New Roman" w:eastAsia="Times New Roman" w:hAnsi="Times New Roman" w:cs="Times New Roman"/>
          <w:lang w:val="en-GB" w:eastAsia="en-GB"/>
        </w:rPr>
      </w:pPr>
    </w:p>
    <w:p w14:paraId="5C784300" w14:textId="77777777" w:rsidR="00CC5602" w:rsidRPr="00CF1465" w:rsidRDefault="00CC5602" w:rsidP="00CC5602">
      <w:pPr>
        <w:spacing w:after="0" w:line="480" w:lineRule="auto"/>
        <w:rPr>
          <w:rFonts w:ascii="Times New Roman" w:eastAsia="Times New Roman" w:hAnsi="Times New Roman" w:cs="Times New Roman"/>
          <w:b/>
          <w:bCs/>
          <w:lang w:val="en-GB" w:eastAsia="en-GB"/>
        </w:rPr>
      </w:pPr>
      <w:r w:rsidRPr="00CF1465">
        <w:rPr>
          <w:rFonts w:ascii="Times New Roman" w:eastAsia="Times New Roman" w:hAnsi="Times New Roman" w:cs="Times New Roman"/>
          <w:b/>
          <w:bCs/>
          <w:lang w:val="en-GB" w:eastAsia="en-GB"/>
        </w:rPr>
        <w:lastRenderedPageBreak/>
        <w:t>Distinguishing different types of crises</w:t>
      </w:r>
    </w:p>
    <w:p w14:paraId="0CAF42D3"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 the crisis management literature, many different types of events and episodes have been studied under the label of “crisis”. Iconic examples include 9/11 and other terrorist attacks, Hurricane Katrina (2005) and the Covid-19 pandemic between 2020 and 2022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{"citationID":"zipZyuaY","properties":{"formattedCitation":"(Kuipers et al., 2022)","plainCitation":"(Kuipers et al., 2022)","noteIndex":0},"citationItems":[{"id":567,"uris":["http://zotero.org/users/10684127/items/Y2S7M3EE"],"itemData":{"id":567,"type":"article-journal","abstract":"Iconic events have traditionally instigated progression in the fields of crisis and disaster science. In the wake of the COVID-19 pandemic, the pressing question is how this global health emergency impacted the research agendas of our field. We reviewed contributions in ten important crisis and disaster journals in the two and a half years following the COVID-19 outbreak from 1 January 2020 to 30 June 2022. Specifically, we conducted a bibliometric review using thematic mapping analysis to distill the major themes covered by the emerging COVID-19 literature within crisis and disaster science (N = 239 articles). Our results indicate that several well-known topics are applied to the COVID-19 pandemic, such as risk, crisis communication, governance, resilience and vulnerability. The pandemic also gave rise to new topics, such as citizen behavior, state power, and the business and mental health impact of crisis measures. Several studies are already looking ahead by identifying lessons for preparedness and mitigation of future pandemics. By taking stock of the surge of COVID-19 studies while this academic literature is still taking shape, this review sets the stage for future contributions to the crisis and disaster literatures. It provides valuable lessons for what topics are studied and what themes need more attention. The COVID-19 pandemic is destined to become an iconic event for our literature that not only strengthens and deepens existing debates, but also clearly offers the opportunity to draw in new perspectives and broaden the horizon of crisis and disaster science.","container-title":"Risk, Hazards &amp; Crisis in Public Policy","DOI":"10.1002/rhc3.12262","ISSN":"1944-4079","language":"en","note":"_eprint: https://onlinelibrary.wiley.com/doi/pdf/10.1002/rhc3.12262","page":"1-20","source":"Wiley Online Library","title":"Pandemic publishing: A bibliometric review of COVID-19 research in the crisis and disaster literature","title-short":"Pandemic publishing","volume":"Online first publication","author":[{"family":"Kuipers","given":"Sanneke"},{"family":"Wilt","given":"Annemarie","non-dropping-particle":"van der"},{"family":"Wolbers","given":"Jeroen"}],"issued":{"date-parts":[["2022"]]}}}],"schema":"https://github.com/citation-style-language/schema/raw/master/csl-citation.json"}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(Kuipers et al.,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But also nuclear accidents (Chernobyl and Fukushima), economic breakdowns (the financial crisis of 2008, followed by the Eurozone crisis) and environmental disasters (BP oil spill in 2010) reflect prominent examples in the crisis literature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{"citationID":"4j3tR3Zp","properties":{"formattedCitation":"(Kuipers &amp; Welsh, 2017)","plainCitation":"(Kuipers &amp; Welsh, 2017)","noteIndex":0},"citationItems":[{"id":50,"uris":["http://zotero.org/users/10684127/items/ZDKA4MP7"],"itemData":{"id":50,"type":"article-journal","abstract":"This survey of the literature on crises and disasters reveals that crisis and disaster scholars remain focused on ‘classic’ natural disaster types and on our ability to prepare and respond to the threat they pose. The prevalence of natural disasters as a crisis type and the dominance of preparedness as a crisis theme indicates that the literature remains firmly linked to the world of practice, examining how best practices may be shared to prepare for future incidents. Yet interestingly, the three journals studied demonstrate modest interest in a number of issues that are only likely to increase in the coming years, all of which relate directly to an increasingly interconnected world. Most notably, the lack of attention on system interconnectedness or on advances in communication and cyber dependence (despite the rise of social media and internet use) is a surprising result, given how such systems and methods of communication are becoming so integrated into daily life. Such studies could help scholars and policymakers understand the unexpected turns crises can take and provide practitioners with a range of tools when preparing for or handling future crises.","container-title":"Risk, Hazards &amp; Crisis in Public Policy","DOI":"10.1002/rhc3.12123","ISSN":"1944-4079","issue":"4","language":"en","page":"272-283","source":"Wiley Online Library","title":"Taxonomy of the Crisis and Disaster Literature: Themes and Types in 34 Years of Research","title-short":"Taxonomy of the Crisis and Disaster Literature","volume":"8","author":[{"family":"Kuipers","given":"Sanneke"},{"family":"Welsh","given":"Nicholas H."}],"issued":{"date-parts":[["2017"]]}}}],"schema":"https://github.com/citation-style-language/schema/raw/master/csl-citation.json"}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(Kuipers &amp; Welsh, 2017)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3AA35ABD"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Crisis management scholarship has distinguished different types of crises, resulting into multiple crisis classifications and taxonomies. Based on the </w:t>
      </w:r>
      <w:r w:rsidRPr="00CF1465">
        <w:rPr>
          <w:rFonts w:ascii="Times New Roman" w:eastAsia="Times New Roman" w:hAnsi="Times New Roman" w:cs="Times New Roman"/>
          <w:i/>
          <w:iCs/>
          <w:lang w:val="en-GB" w:eastAsia="en-GB"/>
        </w:rPr>
        <w:t xml:space="preserve">causes </w:t>
      </w:r>
      <w:r w:rsidRPr="00CF1465">
        <w:rPr>
          <w:rFonts w:ascii="Times New Roman" w:eastAsia="Times New Roman" w:hAnsi="Times New Roman" w:cs="Times New Roman"/>
          <w:lang w:val="en-GB" w:eastAsia="en-GB"/>
        </w:rPr>
        <w:t xml:space="preserve">of a crisis, crisis researchers have differentiated between natural (“acts of God”) and man-made disasters, or have separated external, exogenous crises from internal and endogenous ones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{"citationID":"Bduw3UM8","properties":{"formattedCitation":"(Rosenthal &amp; Kouzmin, 1997)","plainCitation":"(Rosenthal &amp; Kouzmin, 1997)","noteIndex":0},"citationItems":[{"id":"p8bpfMTc/J0tiNzNd","uris":["http://zotero.org/users/5191464/items/3CT8MT7C"],"itemData":{"id":3010,"type":"article-journal","abstract":"Industrial Society is susceptibile to catastrophic events, including technological disasters and social and political crises. Risk, uncertainty, crisis, collective stress, and \"normal accidents\" now need to be incorporated into a broader understanding of how governments and decision makers respond to the un-ness of crisis situations: unpleasantness in unexpected circumstances, representing unscheduled events, unprecedented in their implications and, by normal routine standards, almost unmanageable.","container-title":"Journal of Public Administration Research and Theory","DOI":"10.1093/oxfordjournals.jpart.a024349","ISSN":"1053-1858, 1477-9803","issue":"2","journalAbbreviation":"Journal of Public Administration Research and Theory","language":"en","page":"277-304","source":"DOI.org (Crossref)","title":"Crises and Crisis Management: Toward Comprehensive Government Decision Making","title-short":"Crises and Crisis Management","volume":"7","author":[{"family":"Rosenthal","given":"U."},{"family":"Kouzmin","given":"A."}],"issued":{"date-parts":[["1997",4,1]]}},"label":"page"}],"schema":"https://github.com/citation-style-language/schema/raw/master/csl-citation.json"}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(Rosenthal &amp;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1997)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Rather than a single, identifiable cause, many crises arise from multiple interacting and complex causes, suggesting that distinctions between natural and man-made disasters or between endogenous and exogenous threats do not often hold in practice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{"citationID":"2ELRhlom","properties":{"formattedCitation":"(L\\uc0\\u230{}greid &amp; Rykkja, 2019)","plainCitation":"(Lægreid &amp; Rykkja, 2019)","noteIndex":0},"citationItems":[{"id":558,"uris":["http://zotero.org/users/10684127/items/2GRH76T5"],"itemData":{"id":558,"type":"book","event-place":"Cham","ISBN":"978-3-319-92302-4","language":"en","note":"DOI: 10.1007/978-3-319-92303-1","publisher":"Springer International Publishing","publisher-place":"Cham","source":"DOI.org (Crossref)","title":"Societal Security and Crisis Management: Governance Capacity and Legitimacy","title-short":"Societal Security and Crisis Management","URL":"http://link.springer.com/10.1007/978-3-319-92303-1","editor":[{"family":"Lægreid","given":"Per"},{"family":"Rykkja","given":"Lise H."}],"accessed":{"date-parts":[["2022",11,6]]},"issued":{"date-parts":[["2019"]]}}}],"schema":"https://github.com/citation-style-language/schema/raw/master/csl-citation.json"}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(Lægreid &amp; Rykkja, 2019)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27DCE672"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Meanwhile, crises often tend to differ in their spatial and temporal consequences. While some crises are restricted to an organisational or local scale, other </w:t>
      </w:r>
      <w:proofErr w:type="spellStart"/>
      <w:r w:rsidRPr="00CF1465">
        <w:rPr>
          <w:rFonts w:ascii="Times New Roman" w:eastAsia="Times New Roman" w:hAnsi="Times New Roman" w:cs="Times New Roman"/>
          <w:lang w:val="en-GB" w:eastAsia="en-GB"/>
        </w:rPr>
        <w:t>crisescan</w:t>
      </w:r>
      <w:proofErr w:type="spellEnd"/>
      <w:r w:rsidRPr="00CF1465">
        <w:rPr>
          <w:rFonts w:ascii="Times New Roman" w:eastAsia="Times New Roman" w:hAnsi="Times New Roman" w:cs="Times New Roman"/>
          <w:lang w:val="en-GB" w:eastAsia="en-GB"/>
        </w:rPr>
        <w:t xml:space="preserve"> turn into international events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{"citationID":"hQxEDZkB","properties":{"formattedCitation":"(Rosenthal &amp; Kouzmin, 1997)","plainCitation":"(Rosenthal &amp; Kouzmin, 1997)","noteIndex":0},"citationItems":[{"id":"p8bpfMTc/J0tiNzNd","uris":["http://zotero.org/users/5191464/items/3CT8MT7C"],"itemData":{"id":3010,"type":"article-journal","abstract":"Industrial Society is susceptibile to catastrophic events, including technological disasters and social and political crises. Risk, uncertainty, crisis, collective stress, and \"normal accidents\" now need to be incorporated into a broader understanding of how governments and decision makers respond to the un-ness of crisis situations: unpleasantness in unexpected circumstances, representing unscheduled events, unprecedented in their implications and, by normal routine standards, almost unmanageable.","container-title":"Journal of Public Administration Research and Theory","DOI":"10.1093/oxfordjournals.jpart.a024349","ISSN":"1053-1858, 1477-9803","issue":"2","journalAbbreviation":"Journal of Public Administration Research and Theory","language":"en","page":"277-304","source":"DOI.org (Crossref)","title":"Crises and Crisis Management: Toward Comprehensive Government Decision Making","title-short":"Crises and Crisis Management","volume":"7","author":[{"family":"Rosenthal","given":"U."},{"family":"Kouzmin","given":"A."}],"issued":{"date-parts":[["1997",4,1]]}},"label":"page"}],"schema":"https://github.com/citation-style-language/schema/raw/master/csl-citation.json"}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(Rosenthal &amp;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1997)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Also, the duration of a crisis can strongly differ. </w:t>
      </w:r>
      <w:proofErr w:type="spellStart"/>
      <w:r w:rsidRPr="00CF1465">
        <w:rPr>
          <w:rFonts w:ascii="Times New Roman" w:eastAsia="Times New Roman" w:hAnsi="Times New Roman" w:cs="Times New Roman"/>
          <w:lang w:val="en-GB" w:eastAsia="en-GB"/>
        </w:rPr>
        <w:t>Farazmand</w:t>
      </w:r>
      <w:proofErr w:type="spellEnd"/>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{"citationID":"qC7atY2U","properties":{"formattedCitation":"(2001, p. 3)","plainCitation":"(2001, p. 3)","noteIndex":0},"citationItems":[{"id":2977,"uris":["http://zotero.org/users/10684127/items/8HMMUPYX"],"itemData":{"id":2977,"type":"book","abstract":"Including contributions from sixty international authors, this book examines emergency responses to environmental dangers such as chemical fires, hazardous material and oil spills, nuclear reactor accidents, and earthquakes, and crises in the environment, global public service, and politics. It covers a wide range of international issues and topics, using various analyses, including critical, descriptive, empirical, quantitative, and normative methods. The book discusses approaches to natural disasters, resolutions to cultural, religious, and political tensions, terrorism and the potential use of biological, chemical, and nuclear weapons, the role of crisis public relations, and more.","ISBN":"978-1-4200-0245-4","language":"en","note":"Google-Books-ID: CEpVdPyySp0C","number-of-pages":"816","publisher":"CRC Press","source":"Google Books","title":"Handbook of Crisis and Emergency Management","author":[{"family":"Farazmand","given":"Ali"}],"issued":{"date-parts":[["2001",6,22]]}},"locator":"3","label":"page","suppress-author":true}],"schema":"https://github.com/citation-style-language/schema/raw/master/csl-citation.json"}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US"/>
        </w:rPr>
        <w:t>(2001, p. 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for instance, refers to “sudden” and “process-oriented” crises, in which the former has a relatively short time span and the latter consists of a sequence of different but related events. ‘t Hart and Boin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{"citationID":"5kriGXEE","properties":{"formattedCitation":"(2001)","plainCitation":"(2001)","noteIndex":0},"citationItems":[{"id":547,"uris":["http://zotero.org/users/10684127/items/PHRLIVLZ"],"itemData":{"id":547,"type":"chapter","container-title":"Managing Crises: Threats, Dilemmas, Opportunities","page":"28-46","publisher":"Charles C. Thomas Publisher Ltd","source":"ResearchGate","title":"Between Crisis and Normalcy: The Long Shadow of Post-Crisis Politics","title-short":"Between Crisis and Normalcy","author":[{"family":"Hart","given":"Paul","non-dropping-particle":"'t"},{"family":"Boin","given":"Arjen"}],"editor":[{"family":"Rosenthal","given":"Uriel"},{"family":"Boin","given":"Arjen"},{"family":"Comfort","given":"Louise K."}],"issued":{"date-parts":[["2001",1,1]]}},"suppress-author":true}],"schema":"https://github.com/citation-style-language/schema/raw/master/csl-citation.json"}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US"/>
        </w:rPr>
        <w:t>(2001)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differentiate between “fast-burning,” “cathartic,” “long-shadow,” and “creeping” (or “slow-burning”) crises, based on their development and aftermath. For instance, “fast-burning” crises occur abruptly with clear resolution—such as hijackings or hostage situations—whereas “cathartic” crises escalate to a boiling point after a long buildup. “Long-shadow” crises begin suddenly but leave lasting political or societal effects, while “creeping” crises, like climate change or institutional decline, evolve gradually and may persist well beyond </w:t>
      </w:r>
      <w:r w:rsidRPr="00CF1465">
        <w:rPr>
          <w:rFonts w:ascii="Times New Roman" w:eastAsia="Times New Roman" w:hAnsi="Times New Roman" w:cs="Times New Roman"/>
          <w:lang w:val="en-GB" w:eastAsia="en-GB"/>
        </w:rPr>
        <w:lastRenderedPageBreak/>
        <w:t xml:space="preserve">their visible peak (Boin et al., 2020; Wolbers et al., 2021). When such crises are sustained over time, they may even become chronic, creating the sense of an unending threat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{"citationID":"2h2WXTCq","properties":{"formattedCitation":"(McConnell, 2020, p. 8)","plainCitation":"(McConnell, 2020, p. 8)","noteIndex":0},"citationItems":[{"id":"p8bpfMTc/AJBhqO2Z","uris":["http://zotero.org/users/5191464/items/ZHQJ7U66"],"itemData":{"id":3003,"type":"webpage","abstract":"\"The Politics of Crisis Terminology\" published on  by Oxford University Press.","container-title":"Oxford Research Encyclopedia of Politics","language":"en","note":"ISBN: 9780190228637\nDOI: 10.1093/acrefore/9780190228637.013.1590","title":"The Politics of Crisis Terminology","URL":"https://oxfordre.com/politics/view/10.1093/acrefore/9780190228637.001.0001/acrefore-9780190228637-e-1590","author":[{"family":"McConnell","given":"Allan"}],"accessed":{"date-parts":[["2022",11,7]]},"issued":{"date-parts":[["2020",1,30]]}},"locator":"8"}],"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(McConnell, 2020, p. 8)</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60815876"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From a governmental perspective, the </w:t>
      </w:r>
      <w:r w:rsidRPr="00CF1465">
        <w:rPr>
          <w:rFonts w:ascii="Times New Roman" w:eastAsia="Times New Roman" w:hAnsi="Times New Roman" w:cs="Times New Roman"/>
          <w:i/>
          <w:iCs/>
          <w:lang w:val="en-GB" w:eastAsia="en-GB"/>
        </w:rPr>
        <w:t>complexity</w:t>
      </w:r>
      <w:r w:rsidRPr="00CF1465">
        <w:rPr>
          <w:rFonts w:ascii="Times New Roman" w:eastAsia="Times New Roman" w:hAnsi="Times New Roman" w:cs="Times New Roman"/>
          <w:lang w:val="en-GB" w:eastAsia="en-GB"/>
        </w:rPr>
        <w:t xml:space="preserve"> of a crisis can be of crucial importance. Gundel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Q7aBWBVB","properties":{"formattedCitation":"(2005)","plainCitation":"(2005)","noteIndex":0},"citationItems":[{"id":"p8bpfMTc/ZFh0gzrO","uris":["http://zotero.org/users/5191464/items/JII39FRC"],"itemData":{"id":2625,"type":"article-journal","container-title":"Journal of Contingencies and Crisis Management","DOI":"10.1111/j.1468-5973.2005.00465.x","ISSN":"0966-0879, 1468-5973","issue":"3","journalAbbreviation":"J Contingencies &amp; Crisis Man","language":"en","page":"106-115","source":"DOI.org (Crossref)","title":"Towards a New Typology of Crises","volume":"13","author":[{"family":"Gundel","given":"Stephan"}],"issued":{"date-parts":[["2005",9]]}},"label":"page","suppress-author":true}],"schema":"https://github.com/citation-style-language/schema/raw/master/csl-citation.json"}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(2005)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has, for example, developed a categorization of crises based on their levels of predictability (high versus low) and influence possibilities (high versus low). As such, four types of crises can be distinguished: conventional crises (high predictability/high influence possibilities), unexpected crises (low predictability/high influence possibilities), intractable crises (high predictability/low influence possibilities), and fundamental crises (low predictability/low influence possibilities). As Gundel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nBsS9ARr","properties":{"formattedCitation":"(2005)","plainCitation":"(2005)","noteIndex":0},"citationItems":[{"id":"p8bpfMTc/ZFh0gzrO","uris":["http://zotero.org/users/5191464/items/JII39FRC"],"itemData":{"id":2625,"type":"article-journal","container-title":"Journal of Contingencies and Crisis Management","DOI":"10.1111/j.1468-5973.2005.00465.x","ISSN":"0966-0879, 1468-5973","issue":"3","journalAbbreviation":"J Contingencies &amp; Crisis Man","language":"en","page":"106-115","source":"DOI.org (Crossref)","title":"Towards a New Typology of Crises","volume":"13","author":[{"family":"Gundel","given":"Stephan"}],"issued":{"date-parts":[["2005",9]]}},"suppress-author":true}],"schema":"https://github.com/citation-style-language/schema/raw/master/csl-citation.json"}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(2005)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argues, conventional crises are considered to be the least dangerous ones that a community can face, while fundamental crises represent the most complex and dangerous type of crises. </w:t>
      </w:r>
    </w:p>
    <w:p w14:paraId="5D2B97C8"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According to Christensen, </w:t>
      </w:r>
      <w:proofErr w:type="spellStart"/>
      <w:r w:rsidRPr="00CF1465">
        <w:rPr>
          <w:rFonts w:ascii="Times New Roman" w:eastAsia="Times New Roman" w:hAnsi="Times New Roman" w:cs="Times New Roman"/>
          <w:lang w:val="en-GB" w:eastAsia="en-GB"/>
        </w:rPr>
        <w:t>Laegreid</w:t>
      </w:r>
      <w:proofErr w:type="spellEnd"/>
      <w:r w:rsidRPr="00CF1465">
        <w:rPr>
          <w:rFonts w:ascii="Times New Roman" w:eastAsia="Times New Roman" w:hAnsi="Times New Roman" w:cs="Times New Roman"/>
          <w:lang w:val="en-GB" w:eastAsia="en-GB"/>
        </w:rPr>
        <w:t xml:space="preserve"> and Rykkja (2016), the complexity of a crisis further increases with a growth in transboundary features and dimensions of a crisis. A transboundary crisis reflects a type of crisis that can easily cross multiple boundaries, including political (or geographical), functional and temporal boundaries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{"citationID":"nOCztE4P","properties":{"formattedCitation":"(Ansell et al., 2010; Blondin &amp; Boin, 2020)","plainCitation":"(Ansell et al., 2010; Blondin &amp; Boin, 2020)","noteIndex":0},"citationItems":[{"id":"p8bpfMTc/nEGEDRhG","uris":["http://zotero.org/users/5191464/items/TEKJ2TUB"],"itemData":{"id":"p8bpfMTc/nEGEDRhG","type":"article-journal","abstract":"In recent years, crises have become increasingly transboundary in nature. This exploratory paper investigates whether and how the transboundary dimensions of crises such as pandemics, cyber attacks and prolonged critical infrastructure failure accentuate the challenges that public and private authorities confront in the face of urgent threats. We explore the transboundary dimensions of crises and disasters, discuss how an increase in ‘transboundedness’ affects traditional crisis management challenges and investigate what administrative mechanisms are needed to deal with these compounded challenges. Building on lessons learned from past crises and disasters, our goal is to stimulate a discussion among crisis management scholars about the political-administrative capabilities required to deal with ‘transboundary’ crises.","container-title":"Journal of Contingencies and Crisis Management","DOI":"10.1111/j.1468-5973.2010.00620.x","ISSN":"1468-5973","issue":"4","language":"en","note":"_eprint: https://onlinelibrary.wiley.com/doi/pdf/10.1111/j.1468-5973.2010.00620.x","page":"195-207","source":"Wiley Online Library","title":"Managing Transboundary Crises: Identifying the Building Blocks of an Effective Response System","title-short":"Managing Transboundary Crises","volume":"18","author":[{"family":"Ansell","given":"Chris"},{"family":"Boin","given":"Arjen"},{"family":"Keller","given":"Ann"}],"issued":{"date-parts":[["2010"]]}}},{"id":"p8bpfMTc/lgF5Xkdl","uris":["http://zotero.org/users/5191464/items/8N3DWN6T"],"itemData":{"id":"p8bpfMTc/lgF5Xkdl","type":"article-journal","abstract":"The nation state is discovering the limits of its crisis management capacities. The Ebola and Zika outbreaks, the financial crisis, the downing of flight MH17 over Ukraine, sinking ships overfilled with refugees, cyber-attacks, urban terrorism and existential environmental threats serve as strong reminders of the complex origins and transboundary dimensions of many contemporary crises and disasters. As these transboundary aspects of modern crises become increasingly manifest, the need for international, collaborative responses appears ever clearer. But that collaboration does not always emerge in time (or at all). Even in the European Union, which has various transboundary crisis management mechanisms in place, the willingness to initiate joint crisis responses varies. This observation prompted our research question: Why do states collaborate in response to some transboundary crises but not others? We bring together the crisis and collective action literatures to formulate a theoretical framework that can help answer this question. This article identifies crucial factors that facilitate a possible pathway toward a joint response.","container-title":"Perspectives on Public Management and Governance","DOI":"10.1093/ppmgov/gvz031","ISSN":"2398-4910","issue":"3","journalAbbreviation":"Perspectives on Public Management and Governance","page":"197-209","source":"Silverchair","title":"Cooperation in the Face of Transboundary Crisis: A Framework for Analysis","title-short":"Cooperation in the Face of Transboundary Crisis","volume":"3","author":[{"family":"Blondin","given":"Donald"},{"family":"Boin","given":"Arjen"}],"issued":{"date-parts":[["2020",8,27]]}}}],"schema":"https://github.com/citation-style-language/schema/raw/master/csl-citation.json"}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(Ansell et al., 2010; Blondin &amp; Boin, 2020)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From a MLG perspective, transboundary crises reflect the most challenging and complex types of crises, particularly because of their tendency to spread across political and geographical boundaries, thereby creating the need for different units of government, often at different levels of government, to take action and manage the consequences of a crisis. </w:t>
      </w:r>
    </w:p>
    <w:p w14:paraId="6C6AC997"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When a political boundary is crossed, this can happen both </w:t>
      </w:r>
      <w:r w:rsidRPr="00CF1465">
        <w:rPr>
          <w:rFonts w:ascii="Times New Roman" w:eastAsia="Times New Roman" w:hAnsi="Times New Roman" w:cs="Times New Roman"/>
          <w:i/>
          <w:iCs/>
          <w:lang w:val="en-GB" w:eastAsia="en-GB"/>
        </w:rPr>
        <w:t>horizontally</w:t>
      </w:r>
      <w:r w:rsidRPr="00CF1465">
        <w:rPr>
          <w:rFonts w:ascii="Times New Roman" w:eastAsia="Times New Roman" w:hAnsi="Times New Roman" w:cs="Times New Roman"/>
          <w:lang w:val="en-GB" w:eastAsia="en-GB"/>
        </w:rPr>
        <w:t xml:space="preserve"> and </w:t>
      </w:r>
      <w:r w:rsidRPr="00CF1465">
        <w:rPr>
          <w:rFonts w:ascii="Times New Roman" w:eastAsia="Times New Roman" w:hAnsi="Times New Roman" w:cs="Times New Roman"/>
          <w:i/>
          <w:iCs/>
          <w:lang w:val="en-GB" w:eastAsia="en-GB"/>
        </w:rPr>
        <w:t xml:space="preserve">vertically. </w:t>
      </w:r>
      <w:r w:rsidRPr="00CF1465">
        <w:rPr>
          <w:rFonts w:ascii="Times New Roman" w:eastAsia="Times New Roman" w:hAnsi="Times New Roman" w:cs="Times New Roman"/>
          <w:lang w:val="en-GB" w:eastAsia="en-GB"/>
        </w:rPr>
        <w:t xml:space="preserve">Horizontally, a crisis crosses a boundary </w:t>
      </w:r>
      <w:r w:rsidRPr="00CF1465">
        <w:rPr>
          <w:rFonts w:ascii="Times New Roman" w:eastAsia="Times New Roman" w:hAnsi="Times New Roman" w:cs="Times New Roman"/>
          <w:lang w:val="en-US" w:eastAsia="en-GB"/>
        </w:rPr>
        <w:t xml:space="preserve">when it affects different government jurisdictions operating at the same level, for example, a crisis hits multiple regions or countries. Vertically, a crisis travels across boundaries when it impacts multiple levels of government, such as local, regional and national authorities all being involved in managing the situation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{"citationID":"ifRAl5cA","properties":{"formattedCitation":"(Ansell et al., 2010, p. 196)","plainCitation":"(Ansell et al., 2010, p. 196)","noteIndex":0},"citationItems":[{"id":"p8bpfMTc/nEGEDRhG","uris":["http://zotero.org/users/5191464/items/TEKJ2TUB"],"itemData":{"id":"p8bpfMTc/nEGEDRhG","type":"article-journal","abstract":"In recent years, crises have become increasingly transboundary in nature. This exploratory paper investigates whether and how the transboundary dimensions of crises such as pandemics, cyber attacks and prolonged critical infrastructure failure accentuate the challenges that public and private authorities confront in the face of urgent threats. We explore the transboundary dimensions of crises and disasters, discuss how an increase in ‘transboundedness’ affects traditional crisis management challenges and investigate what administrative mechanisms are needed to deal with these compounded challenges. Building on lessons learned from past crises and disasters, our goal is to stimulate a discussion among crisis management scholars about the political-administrative capabilities required to deal with ‘transboundary’ crises.","container-title":"Journal of Contingencies and Crisis Management","DOI":"10.1111/j.1468-5973.2010.00620.x","ISSN":"1468-5973","issue":"4","language":"en","note":"_eprint: https://onlinelibrary.wiley.com/doi/pdf/10.1111/j.1468-5973.2010.00620.x","page":"195-207","source":"Wiley Online Library","title":"Managing Transboundary Crises: Identifying the Building Blocks of an Effective Response System","title-short":"Managing Transboundary Crises","volume":"18","author":[{"family":"Ansell","given":"Chris"},{"family":"Boin","given":"Arjen"},{"family":"Keller","given":"Ann"}],"issued":{"date-parts":[["2010"]]}},"locator":"196","label":"page"}],"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(Ansell et al., 2010, p. 196)</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Although transboundary crises further transcend across functional and temporal boundaries, it is particularly their ability to cross political boundaries – both horizontally and vertically – that is most important for crisis management in MLG systems.</w:t>
      </w:r>
    </w:p>
    <w:p w14:paraId="57C4A24F"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p>
    <w:p w14:paraId="2D93A5AA"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kern w:val="32"/>
          <w:szCs w:val="32"/>
          <w:lang w:val="en-GB" w:eastAsia="en-GB"/>
        </w:rPr>
      </w:pPr>
      <w:r w:rsidRPr="00CF1465">
        <w:rPr>
          <w:rFonts w:ascii="Times New Roman" w:eastAsia="Times New Roman" w:hAnsi="Times New Roman" w:cs="Arial"/>
          <w:b/>
          <w:bCs/>
          <w:kern w:val="32"/>
          <w:szCs w:val="32"/>
          <w:lang w:val="en-GB" w:eastAsia="en-GB"/>
        </w:rPr>
        <w:t>Crisis governance in MLG systems</w:t>
      </w:r>
    </w:p>
    <w:p w14:paraId="144732FE"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How does crisis management function in MLG systems? Although there is no general theory for successful crisis management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{"citationID":"RCvd26yE","properties":{"formattedCitation":"(Christensen et al., 2016, p. 889)","plainCitation":"(Christensen et al., 2016, p. 889)","noteIndex":0},"citationItems":[{"id":"p8bpfMTc/maxcEoHx","uris":["http://zotero.org/users/5191464/items/YY8LV5XC"],"itemData":{"id":"p8bpfMTc/maxcEoHx","type":"article-journal","abstract":"What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H."}],"issued":{"date-parts":[["2016"]]}},"locator":"889","label":"page"}],"schema":"https://github.com/citation-style-language/schema/raw/master/csl-citation.json"}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(Christensen et al., 2016, p. 889)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many scholars tend to argue that crisis governance often means </w:t>
      </w:r>
      <w:r w:rsidRPr="00CF1465">
        <w:rPr>
          <w:rFonts w:ascii="Times New Roman" w:eastAsia="Times New Roman" w:hAnsi="Times New Roman" w:cs="Times New Roman"/>
          <w:i/>
          <w:iCs/>
          <w:lang w:val="en-GB" w:eastAsia="en-GB"/>
        </w:rPr>
        <w:t>multi-level governance</w:t>
      </w:r>
      <w:r w:rsidRPr="00CF1465">
        <w:rPr>
          <w:rFonts w:ascii="Times New Roman" w:eastAsia="Times New Roman" w:hAnsi="Times New Roman" w:cs="Times New Roman"/>
          <w:lang w:val="en-GB" w:eastAsia="en-GB"/>
        </w:rPr>
        <w:t xml:space="preserve">, requiring coordination among supranational, national, regional and local authorities, though the extent and formalization of these multilevel arrangements differ across political systems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{"citationID":"l2sq4J0e","properties":{"formattedCitation":"(cf. Hooghe &amp; Marks, 2003)","plainCitation":"(cf. Hooghe &amp; Marks, 2003)","noteIndex":0},"citationItems":[{"id":155,"uris":["http://zotero.org/users/10684127/items/3GITTFK9"],"itemData":{"id":155,"type":"article-journal","abstract":"The reallocation of authority upward, downward, and sideways from central states has drawn attention from a growing number of scholars in political science. Yet beyond agreement that governance has become (and should be) multi-level, there is no consensus about how it should be organized. This article draws on several literatures to distinguish two types of multi-level governance. One type conceives of dispersion of authority to general-purpose, nonintersecting, and durable jurisdictions. A second type of governance conceives of task-specific, intersecting, and flexible jurisdictions. We conclude by specifying the virtues of each type of governance.For comments and advice we are grateful to Christopher Ansell, Ian Bache, Richard Balme, Arthur Benz, Tanja Börzel, Renaud Dehousse, Burkard Eberlein, Peter Hall, Edgar Grande, Richard Haesly, Bob Jessop, Beate Kohler-Koch, David Lake, Patrick Le Galés, Christiane Lemke, David Lowery, Michael McGinnis, Andrew Moravcsik, Elinor Ostrom, Franz U. Pappi, Thomas Risse, James Rosenau, Alberta Sbragia, Philippe Schmitter, Ulf Sverdrup, Christian Tusschoff, Bernhard Wessels, the political science discussion group at the University of North Carolina, and the editor and three anonymous reviewers of APSR. We received institutional support from the Center for European Studies at the University of North Carolina, the Alexander von Humboldt Foundation, and the Wissenschaftszentrum für Sozialforschung in Berlin. Earlier versions were presented at the European Union Studies Association meeting, the ECPR pan-European Conference in Bordeaux, and Hannover Universität, Harvard University, Humboldt Universität, Indiana University at Bloomington, Mannheim Universität, Sheffield University, Sciences Po (Paris), Technische Universität München, and the Vrije Universiteit Amsterdam. The authors' names appear in alphabetical order.","container-title":"American Political Science Review","DOI":"10.1017/S0003055403000649","ISSN":"1537-5943, 0003-0554","issue":"2","language":"en","page":"233-243","source":"Cambridge University Press","title":"Unraveling the Central State, but How? Types of Multi-level Governance","title-short":"Unraveling the Central State, but How?","volume":"97","author":[{"family":"Hooghe","given":"Liesbet"},{"family":"Marks","given":"Gary"}],"issued":{"date-parts":[["2003",5]]}},"prefix":"cf."}],"schema":"https://github.com/citation-style-language/schema/raw/master/csl-citation.json"}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 xml:space="preserve">(cf. </w:t>
      </w:r>
      <w:proofErr w:type="spellStart"/>
      <w:r w:rsidRPr="00CF1465">
        <w:rPr>
          <w:rFonts w:ascii="Times New Roman" w:eastAsia="Calibri" w:hAnsi="Times New Roman" w:cs="Times New Roman"/>
          <w:lang w:val="en-GB" w:eastAsia="en-GB"/>
        </w:rPr>
        <w:t>Hooghe</w:t>
      </w:r>
      <w:proofErr w:type="spellEnd"/>
      <w:r w:rsidRPr="00CF1465">
        <w:rPr>
          <w:rFonts w:ascii="Times New Roman" w:eastAsia="Calibri" w:hAnsi="Times New Roman" w:cs="Times New Roman"/>
          <w:lang w:val="en-GB" w:eastAsia="en-GB"/>
        </w:rPr>
        <w:t xml:space="preserve"> &amp; Marks, 2003)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This multilevel nature has important implications for how we understand crisis governance across its multiple phases.</w:t>
      </w:r>
    </w:p>
    <w:p w14:paraId="0A7BF1A6"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We can define crisis governance – or crisis management – as the operational and strategic processes whereby public authorities deal with a crisis before, during, and after it has occurred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{"citationID":"3gNJ4Pyu","properties":{"formattedCitation":"(Boin et al., 2005; Christensen et al., 2016; Drennan et al., 2014; L\\uc0\\u230{}greid &amp; Rykkja, 2019)","plainCitation":"(Boin et al., 2005; Christensen et al., 2016; Drennan et al., 2014; Lægreid &amp; Rykkja, 2019)","noteIndex":0},"citationItems":[{"id":"p8bpfMTc/fk4pLIK3","uris":["http://zotero.org/users/5191464/items/5GJAM8EX"],"itemData":{"id":3002,"type":"book","abstract":"Crisis management has become a defining feature of contemporary governance. In times of crisis, communities and members of organizations expect their leaders to minimize the impact of the crisis at hand, while critics and bureaucratic competitors try to seize the moment to blame incumbent rulers and their policies. In this extreme environment, policy makers must somehow establish a sense of normality, and foster collective learning from the crisis experience. In this uniquely comprehensive analysis, the authors examine how leaders deal with the strategic challenges they face, the political risks and opportunities they encounter, the errors they make, the pitfalls they need to avoid, and the paths away from crisis they may pursue. This book is grounded in over a decade of collaborative, cross-national case study research, and offers an invaluable multidisciplinary perspective. This is an original and important contribution from experts in public policy and international security.","event-place":"Cambridge","note":"DOI: 10.1017/CBO9780511490880","publisher":"Cambridge University Press","publisher-place":"Cambridge","source":"Cambridge University Press","title":"The Politics of Crisis Management: Public Leadership Under Pressure","title-short":"The Politics of Crisis Management","URL":"https://www.cambridge.org/core/books/politics-of-crisis-management/D91A08EC1089E0463A1BEDBF244176FA","author":[{"family":"Boin","given":"Arjen"},{"family":"Hart","given":"Paul","non-dropping-particle":"'t"},{"family":"Stern","given":"Eric"},{"family":"Sundelius","given":"Bengt"}],"accessed":{"date-parts":[["2022",11,6]]},"issued":{"date-parts":[["2005"]]}}},{"id":"p8bpfMTc/maxcEoHx","uris":["http://zotero.org/users/5191464/items/YY8LV5XC"],"itemData":{"id":563,"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H."}],"issued":{"date-parts":[["2016"]]}}},{"id":686,"uris":["http://zotero.org/users/10684127/items/9MHZK4H7"],"itemData":{"id":686,"type":"book","abstract":"Every decision that is made by managers and policy-makers in a public sector organization requires an evaluation and a judgement of the risks involved. This vital requirement has been recognised in the growth of risk management. However, risks can never be fully prevented, which means that public managers also have to be crisis managers.  Today’s crises develop in unseen ways; they escalate rapidly and transform through the interdependencies of modern society, and their frequency is growing: the global financial crisis, the European volcanic ash cloud, the Japanese tsunami and subsequent Fukushima nuclear plant meltdown, the Christchurch earthquake and the Queensland floods. All highlight the extreme challenges that public sector organizations across the world have had to face in recent years.  Risk and Crisis Management in the Public Sector Second Edition responds to these challenges by presenting the only guide for public managers and public management students which combines lessons about risk and crisis management together in a single, accessible text. It equips readers and public managers with the knowledge and skills to understand key issues and debates, as well as the capacity to treat risks and better prepare for, respond to and recover from crisis </w:instrText>
      </w:r>
      <w:r w:rsidRPr="00CF1465">
        <w:rPr>
          <w:rFonts w:ascii="Times New Roman" w:eastAsia="Times New Roman" w:hAnsi="Times New Roman" w:cs="Times New Roman"/>
          <w:lang w:val="fr-FR" w:eastAsia="en-GB"/>
        </w:rPr>
        <w:instrText xml:space="preserve">episodes.  This exciting new edition enhances the original text with contemporary cases and a greater focus on the international, trans-boundary and multi-agency dimensions of risk and crisis management. These enhancements reflect the fact that today’s public manager must increasingly operate within a global and interdependent governance context.","ISBN":"978-1-317-81068-1","language":"en","note":"Google-Books-ID: YGW2BQAAQBAJ","number-of-pages":"286","publisher":"Routledge","source":"Google Books","title":"Risk and Crisis Management in the Public Sector","author":[{"family":"Drennan","given":"Lynn T."},{"family":"McConnell","given":"Allan"},{"family":"Stark","given":"Alastair"}],"issued":{"date-parts":[["2014",12,24]]}}},{"id":558,"uris":["http://zotero.org/users/10684127/items/2GRH76T5"],"itemData":{"id":558,"type":"book","event-place":"Cham","ISBN":"978-3-319-92302-4","language":"en","note":"DOI: 10.1007/978-3-319-92303-1","publisher":"Springer International Publishing","publisher-place":"Cham","source":"DOI.org (Crossref)","title":"Societal Security and Crisis Management: Governance Capacity and Legitimacy","title-short":"Societal Security and Crisis Management","URL":"http://link.springer.com/10.1007/978-3-319-92303-1","editor":[{"family":"Lægreid","given":"Per"},{"family":"Rykkja","given":"Lise H."}],"accessed":{"date-parts":[["2022",11,6]]},"issued":{"date-parts":[["2019"]]}}}],"schema":"https://github.com/citation-style-language/schema/raw/master/csl-citation.json"}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fr-FR" w:eastAsia="en-GB"/>
        </w:rPr>
        <w:t xml:space="preserve">(Boin et al., 2005; Christensen et al., 2016; </w:t>
      </w:r>
      <w:proofErr w:type="spellStart"/>
      <w:r w:rsidRPr="00CF1465">
        <w:rPr>
          <w:rFonts w:ascii="Times New Roman" w:eastAsia="Times New Roman" w:hAnsi="Times New Roman" w:cs="Times New Roman"/>
          <w:lang w:val="fr-FR" w:eastAsia="en-GB"/>
        </w:rPr>
        <w:t>Drennan</w:t>
      </w:r>
      <w:proofErr w:type="spellEnd"/>
      <w:r w:rsidRPr="00CF1465">
        <w:rPr>
          <w:rFonts w:ascii="Times New Roman" w:eastAsia="Times New Roman" w:hAnsi="Times New Roman" w:cs="Times New Roman"/>
          <w:lang w:val="fr-FR" w:eastAsia="en-GB"/>
        </w:rPr>
        <w:t xml:space="preserve"> et al., 2014; </w:t>
      </w:r>
      <w:proofErr w:type="spellStart"/>
      <w:r w:rsidRPr="00CF1465">
        <w:rPr>
          <w:rFonts w:ascii="Times New Roman" w:eastAsia="Times New Roman" w:hAnsi="Times New Roman" w:cs="Times New Roman"/>
          <w:lang w:val="fr-FR" w:eastAsia="en-GB"/>
        </w:rPr>
        <w:t>Lægreid</w:t>
      </w:r>
      <w:proofErr w:type="spellEnd"/>
      <w:r w:rsidRPr="00CF1465">
        <w:rPr>
          <w:rFonts w:ascii="Times New Roman" w:eastAsia="Times New Roman" w:hAnsi="Times New Roman" w:cs="Times New Roman"/>
          <w:lang w:val="fr-FR" w:eastAsia="en-GB"/>
        </w:rPr>
        <w:t xml:space="preserve"> &amp; Rykkja, 2019)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fr-FR" w:eastAsia="en-GB"/>
        </w:rPr>
        <w:t xml:space="preserve">. </w:t>
      </w:r>
      <w:r w:rsidRPr="00CF1465">
        <w:rPr>
          <w:rFonts w:ascii="Times New Roman" w:eastAsia="Times New Roman" w:hAnsi="Times New Roman" w:cs="Times New Roman"/>
          <w:lang w:val="en-US" w:eastAsia="en-GB"/>
        </w:rPr>
        <w:t xml:space="preserve">Crisis governance includes both professional and political activities. </w:t>
      </w:r>
      <w:r w:rsidRPr="00CF1465">
        <w:rPr>
          <w:rFonts w:ascii="Times New Roman" w:eastAsia="Times New Roman" w:hAnsi="Times New Roman" w:cs="Times New Roman"/>
          <w:lang w:val="en-GB" w:eastAsia="en-GB"/>
        </w:rPr>
        <w:t xml:space="preserve">As a professional craft, crisis governance includes activities, such as scenario modelling, contingency planning and mobilizing response capacity, that are often the domain of experts and expert bodies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{"citationID":"Xkuhhb3v","properties":{"formattedCitation":"(Baekkeskov, 2016; Rosenthal &amp; \\uc0\\u8217{}t Hart, 1991)","plainCitation":"(Baekkeskov, 2016; Rosenthal &amp; ’t Hart, 1991)","noteIndex":0},"citationItems":[{"id":107,"uris":["http://zotero.org/users/10684127/items/BA9XT4D6"],"itemData":{"id":107,"type":"article-journal","abstract":"Why do similar countries facing the same threat respond differently? To throw light on this question, this article analyses Dutch and Danish vaccinations against the 2009 H1N1 ‘swine’ influenza pandemic (most-similar cases with different outcomes). Policy-making in the cases intersected the politics of crisis management (including risk management and disaster management), pharmaceuticals and epidemic response. Uncertainty and urgency were basic conditions and reduced the potential for evidence-based policy. Public health specialists, elected leaders, and organizations in the economy and society contributed to each national response. Related literatures show that such decision-making can turn on politicians' blame avoidance (A1) or demonstrations of value to swing voters (A2), stakeholders seeking gains (B), or experts following national standards (i.e. norms) for appropriate response (C). While each of these four logics is in evidence to some degree, differences in norms used by national experts advising their governments on pandemic responses best answer the question in the extant cases.","container-title":"Public Administration","DOI":"10.1111/padm.12244","ISSN":"1467-9299","issue":"2","language":"en","page":"299-315","source":"Wiley Online Library","title":"Same Threat, Different Responses: Experts Steering Politicians and Stakeholders in 2009 H1n1 Vaccination Policy-Making","title-short":"Same Threat, Different Responses","volume":"94","author":[{"family":"Baekkeskov","given":"Erik"}],"issued":{"date-parts":[["2016"]]}}},{"id":1503,"uris":["http://zotero.org/users/10684127/items/UZYXXCTQ"],"itemData":{"id":1503,"type":"article-journal","container-title":"Knowledge","DOI":"10.1177/107554709101200402","ISSN":"0164-0259","issue":"4","page":"350-372","source":"SAGE Journals","title":"Experts and Decision Makers in Crisis Situations","volume":"12","author":[{"family":"Rosenthal","given":"Uriel"},{"family":"Hart","given":"Paul","non-dropping-particle":"'t"}],"issued":{"date-parts":[["1991",6,1]]}}}],"schema":"https://github.com/citation-style-language/schema/raw/master/csl-citation.json"}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(Baekkeskov, 2016; Rosenthal &amp; ’t Hart, 1991)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As Boin and colleagues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{"citationID":"l5TIwUVB","properties":{"formattedCitation":"(2005, p. 9)","plainCitation":"(2005, p. 9)","noteIndex":0},"citationItems":[{"id":"p8bpfMTc/fk4pLIK3","uris":["http://zotero.org/users/5191464/items/5GJAM8EX"],"itemData":{"id":"DH28jFje/j8lOw3BW","type":"book","abstract":"Crisis management has become a defining feature of contemporary governance. In times of crisis, communities and members of organizations expect their leaders to minimize the impact of the crisis at hand, while critics and bureaucratic competitors try to seize the moment to blame incumbent rulers and their policies. In this extreme environment, policy makers must somehow establish a sense of normality, and foster collective learning from the crisis experience. In this uniquely comprehensive analysis, the authors examine how leaders deal with the strategic challenges they face, the political risks and opportunities they encounter, the errors they make, the pitfalls they need to avoid, and the paths away from crisis they may pursue. This book is grounded in over a decade of collaborative, cross-national case study research, and offers an invaluable multidisciplinary perspective. This is an original and important contribution from experts in public policy and international security.","event-place":"Cambridge","note":"DOI: 10.1017/CBO9780511490880","publisher":"Cambridge University Press","publisher-place":"Cambridge","source":"Cambridge University Press","title":"The Politics of Crisis Management: Public Leadership Under Pressure","title-short":"The Politics of Crisis Management","URL":"https://www.cambridge.org/core/books/politics-of-crisis-management/D91A08EC1089E0463A1BEDBF244176FA","author":[{"family":"Boin","given":"Arjen"},{"family":"Hart","given":"Paul","non-dropping-particle":"'t"},{"family":"Stern","given":"Eric"},{"family":"Sundelius","given":"Bengt"}],"accessed":{"date-parts":[["2022",11,6]]},"issued":{"date-parts":[["2005"]]}},"locator":"9","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(2005, p. 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suggest, crisis governance is further “a deeply controversial and intensely political activity”, reflecting the domain of politicians and policy-makers.  This includes formulating (alternative) problem definitions, assigning credit and blame and advocating preferred policy solutions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{"citationID":"xFwEbS0Y","properties":{"formattedCitation":"(Alink et al., 2001; Boin et al., 2009)","plainCitation":"(Alink et al., 2001; Boin et al., 2009)","noteIndex":0},"citationItems":[{"id":519,"uris":["http://zotero.org/users/10684127/items/97DX35IB"],"itemData":{"id":519,"type":"article-journal","abstract":"This article develops a conceptual framework for the analysis of institutional crises in policy sectors. Institutional crises are periods in which a policy sector experiences major legitimacy shortfalls, i.e. when its established policy frames, organizational structures and modes of decision-making and service delivery are being fundamentally criticized by political actors within and outside the sector. The framework outlines how institutional crises can be identi ed, why they develop, what types of response policy-makers may seek to develop when confronted with an institutional crisis, and what kinds of outcome might result from these periods in which the institutional make-up of a policy sector is in a state of ux. The usefulness of the framework is illustrated by applying it to the case of national asylum policies in Europe.","container-title":"Journal of European Public Policy","DOI":"10.1080/13501760151146487","ISSN":"1350-1763, 1466-4429","issue":"2","journalAbbreviation":"Journal of European Public Policy","language":"en","page":"286-306","source":"DOI.org (Crossref)","title":"Institutional crises and reforms in policy sectors: the case of asylum policy in Europe","title-short":"Institutional crises and reforms in policy sectors","volume":"8","author":[{"family":"Alink","given":"Fleur"},{"family":"Boin","given":"Arjen"},{"family":"T'Hart","given":"Paul"}],"issued":{"date-parts":[["2001",1]]}}},{"id":1234,"uris":["http://zotero.org/users/10684127/items/Z84VGHJW"],"itemData":{"id":1234,"type":"article-journal","abstract":"When societies are confronted with major, disruptive emergencies, the fate of politicians and public policies hangs in the balance. Both government actors and their critics will try to escape blame for their occurrence, consolidate/strengthen their political capital, and advance/defend the policies they stand for. Crises thus generate framing contests to interpret events, their causes, and the responsibilities and lessons involved in ways that suit their political purposes and visions of future policy directions. This article dissects these processes and articulates foundations for a theory of crisis exploitation. Drawing on 15 cases of crisis-induced framing contests, we identify potentially crucial factors that may explain both the political (effects on incumbent office-holders/institutions) and policy (effects on programs) impacts of crises.","container-title":"Journal of European Public Policy","DOI":"10.1080/13501760802453221","ISSN":"1350-1763","issue":"1","page":"81-106","source":"Taylor and Francis+NEJM","title":"Crisis exploitation: political and policy impacts of framing contests","title-short":"Crisis exploitation","volume":"16","author":[{"family":"Boin","given":"Arjen"},{"family":"Hart","given":"Paul","non-dropping-particle":"'t"},{"family":"McConnell","given":"Allan"}],"issued":{"date-parts":[["2009",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(Alink et al., 2001; Boin et al., 2009)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As ‘t Hart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{"citationID":"TzjU5PLF","properties":{"formattedCitation":"(1993, p. 41)","plainCitation":"(1993, p. 41)","noteIndex":0},"citationItems":[{"id":1535,"uris":["http://zotero.org/users/10684127/items/DZ8N6BZJ"],"itemData":{"id":1535,"type":"article-journal","container-title":"Journal of Contingencies and Crisis Management","DOI":"10.1111/j.1468-5973.1993.tb00005.x","ISSN":"09660879","issue":"1","language":"en","page":"36-50","source":"DOI.org (Crossref)","title":"Symbols, Rituals and Power: The Lost Dimensions of Crisis Management","title-short":"Symbols, Rituals and Power","volume":"1","author":[{"family":"Hart","given":"Paul","non-dropping-particle":"'t"}],"issued":{"date-parts":[["1993",3]]}},"locator":"41","suppress-author":true}],"schema":"https://github.com/citation-style-language/schema/raw/master/csl-citation.json"}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(1993, p. 41)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argues, “the most important instrument of crisis management is language”. In multilevel governance systems, authorities from different levels may frame the same crisis differently, potentially creating competing narratives about appropriate responses and responsibility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{"citationID":"SA2UFSWt","properties":{"formattedCitation":"(Anderson et al., 2024; Schnabel et al., 2024)","plainCitation":"(Anderson et al., 2024; Schnabel et al., 2024)","noteIndex":0},"citationItems":[{"id":1408,"uris":["http://zotero.org/users/10684127/items/H3VZEBSY"],"itemData":{"id":1408,"type":"article-journal","abstract":"As the first cases of COVID-19 emerged in Belgium, Spain and the United Kingdom, they did so against a backdrop of heightened constitutional contestation. Capturing the period January 2020 to December 2021 which included three waves of the pandemic in each state and the delivery of vaccines, this article examines how state and sub-state nationalists articulated their constitutional preferences and territorial claims in the pandemic period. We particularly explore whether the crisis changed state and sub-state nationalists' territorial demands and how it was used to advance or bolster their territorial aspirations. We find that whilst the pandemic entailed an amplification of extant frames in favour of state dissolution and state integrity, the frames remained, broadly, similar between the pre-pandemic and pandemic period, suggesting that sub-state and state nationalist actors stick to a similar playbook, even at moments of profound crisis.","container-title":"Nations and Nationalism","DOI":"10.1111/nana.12983","ISSN":"1469-8129","issue":"1","language":"en","license":"© 2023 The Authors. Nations and Nationalism published by Association for the Study of Ethnicity and Nationalism and John Wiley &amp; Sons Ltd.","note":"_eprint: https://onlinelibrary.wiley.com/doi/pdf/10.1111/nana.12983","page":"110-127","source":"Wiley Online Library","title":"State making or state breaking?’ Crisis, COVID-19 and the constitution in Belgium, Spain and the United Kingdom","title-short":"State making or state breaking?","volume":"30","author":[{"family":"Anderson","given":"Paul"},{"family":"Swan","given":"Coree Brown"},{"family":"Ferreira","given":"Carles"},{"family":"Sijstermans","given":"Judith"}],"issued":{"date-parts":[["2024"]]}}},{"id":5030,"uris":["http://zotero.org/users/10684127/items/D8SX8FHG"],"itemData":{"id":5030,"type":"article-journal","abstract":"Consistency in crisis communication is a key aspect of effective political leadership during crises, but can be difficult in multilevel systems due to the number of leaders and fragmentation of policymaking powers. The literature on multilevel governance suggests that centralisation enhances consistency in crisis communication while decentralisation leads to inconsistency. Consistency in crisis communication is also expected to depend on whether leaders coordinate crisis management. Comparing crisis communication in Germany, Italy, and the United Kingdom during the first wave of the COVID-19 pandemic, this paper shows that centralisation does not automatically lead to consistent crisis communication. At the same time, decentralised decision making does not necessarily undermine consistency. Overall, crisis communication tends to be more consistent when leaders coordinate crisis management.","container-title":"Journal of European Public Policy","DOI":"10.1080/13501763.2023.2199784","ISSN":"1350-1763","issue":"9","note":"publisher: Routledge\n_eprint: https://doi.org/10.1080/13501763.2023.2199784","page":"2719-2747","source":"Taylor and Francis+NEJM","title":"Multilevel governance and political leadership: crisis communication in Germany, Italy, and the United Kingdom during the COVID-19 pandemic","title-short":"Multilevel governance and political leadership","volume":"31","author":[{"family":"Schnabel","given":"Johanna"},{"family":"","given":"Anderson ,Paul"},{"family":"De Francesco","given":"Fabrizio","non-dropping-particle":"and"}],"issued":{"date-parts":[["2024",9,1]]}}}],"schema":"https://github.com/citation-style-language/schema/raw/master/csl-citation.json"}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(Anderson et al., 2024; Schnabel et al., 2024)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4FF229B2"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According to crisis management frameworks, crisis governance unfolds across sequential phases that includes different sets of activities and decisions: the pre-crisis phase, the acute crisis phase and the post-crisis phase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{"citationID":"m6IOI1nC","properties":{"formattedCitation":"(Comfort, 1988; Comfort et al., 2010; Rosenthal &amp; Kouzmin, 1993)","plainCitation":"(Comfort, 1988; Comfort et al., 2010; Rosenthal &amp; Kouzmin, 1993)","noteIndex":0},"citationItems":[{"id":500,"uris":["http://zotero.org/users/10684127/items/QZ44BMXZ"],"itemData":{"id":500,"type":"book","event-place":"Durham","ISBN":"978-0-8223-0800-3","language":"English","number-of-pages":"432","publisher":"Duke University Press Books","publisher-place":"Durham","source":"Amazon","title":"Managing Disaster: Strategies and Policy Perspectives","title-short":"Managing Disaster","editor":[{"family":"Comfort","given":"Louise K."}],"issued":{"date-parts":[["1988",4,7]]}}},{"id":502,"uris":["http://zotero.org/users/10684127/items/8NT8VISD"],"itemData":{"id":502,"type":"book","abstract":"In the wake of severe climatic events and terrorist acts, and the emergence of dangerous technologies, communities, nations, and global organizations have diligently sought to create strategies to prepare for such events. Designing Resilience presents case studies of extreme events and analyzes the ability of affected individuals, institutions, governments, and technological systems to cope with disaster.  This volume defines resilience as it relates to disaster management at specific stages: mitigation, prevention, preparation, and response and recovery. The book illustrates models by which to evaluate resilience at levels ranging from individuals to NGOs to governmental jurisdictions and examines how resilience can be developed and sustained. A group or nation’s ability to withstand events and emerge from them with their central institutions intact is at the core of resilience. Quality of response, capacity to improvise, coordination, flexibility, and endurance are also determinants. Individual case studies, including Hurricane Katrina in the United States, the London bombings, and French preparedness for the Avian flu, demonstrate effective and ineffective strategies.  The contributors reveal how the complexity and global interconnectivity of modern systems—whether they are governments, mobile populations, power grids, financial systems, or the Internet—have transcended borders and created a new level of exposure that has made them especially vulnerable to extreme events. Yet these far-reaching global systems also possess the ability to alert and respond at greater speeds than ever before.  The authors analyze specific characteristics of resilient systems—the qualities they possess and how they become resilient—to determine if there are ways to build a system of resilience from the ground up. As such, Designing Resilience will inform a broad range of students and scholars in areas of public administration, public policy, and the social sciences.","ISBN":"978-0-8229-7370-6","language":"en","note":"Google-Books-ID: ZN4LLw6YcmEC","number-of-pages":"362","publisher":"University of Pittsburgh Pre","source":"Google Books","title":"Designing Resilience: Preparing for Extreme Events","title-short":"Designing Resilience","author":[{"family":"Comfort","given":"Louise K."},{"family":"Boin","given":"Arjen"},{"family":"Demchak","given":"Chris C."}],"issued":{"date-parts":[["2010",9,19]]}}},{"id":521,"uris":["http://zotero.org/users/10684127/items/BW4WKNK5"],"itemData":{"id":521,"type":"article-journal","abstract":"Presents information on contingency planning and crisis management in both corporate and public sectors.  Contingencies and crises on the corporate side; Role of the 'Journal of Contingencies and Crisis Management' in disseminating information on aspects of contingency planning and crisis management; Intricacies of the theory and practice of crisis management; Discussion on the need for a comparative orientation for contingency and crisis analysis.","container-title":"Journal of Contingencies &amp; Crisis Management","DOI":"10.1111/j.1468-5973.1993.tb00001.x","ISSN":"09660879","issue":"1","note":"publisher: Wiley-Blackwell","page":"1","source":"EBSCOhost","title":"Globalizing an Agenda for Contingencies and Crisis Management: An Editorial Statement","title-short":"Globalizing an Agenda for Contingencies and Crisis Management","volume":"1","author":[{"family":"Rosenthal","given":"Uriel"},{"family":"Kouzmin","given":"Alexander"}],"issued":{"date-parts":[["1993",3]]}}}],"schema":"https://github.com/citation-style-language/schema/raw/master/csl-citation.json"}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(Comfort, 1988; Comfort et al., 2010; Rosenthal &amp;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1993)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the pre-crisis phase, prevention and preparedness reflect the most important activities for governmental authorities. Given </w:t>
      </w:r>
      <w:r w:rsidRPr="00CF1465">
        <w:rPr>
          <w:rFonts w:ascii="Times New Roman" w:eastAsia="Times New Roman" w:hAnsi="Times New Roman" w:cs="Times New Roman"/>
          <w:lang w:val="en-GB" w:eastAsia="en-GB"/>
        </w:rPr>
        <w:lastRenderedPageBreak/>
        <w:t xml:space="preserve">the fact that not all crises can be prevented, crisis preparation has become an important but still challenging task as it requires policy-makers to “prepare for the unknown”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{"citationID":"VR3EJjZN","properties":{"formattedCitation":"(Boin et al., 2010, p. 4)","plainCitation":"(Boin et al., 2010, p. 4)","noteIndex":0},"citationItems":[{"id":474,"uris":["http://zotero.org/users/10684127/items/XCLST3EL"],"itemData":{"id":474,"type":"chapter","abstract":"In the wake of severe climatic events and terrorist acts, and the emergence of dangerous technologies, communities, nations, and global organizations have diligently sought to create strategies to prepare for such events. Designing Resilience presents case studies of extreme events and analyzes the ability of affected individuals, institutions, governments, and technological systems to cope with disaster.  This volume defines resilience as it relates to disaster management at specific stages: mitigation, prevention, preparation, and response and recovery. The book illustrates models by which to evaluate resilience at levels ranging from individuals to NGOs to governmental jurisdictions and examines how resilience can be developed and sustained. A group or nation’s ability to withstand events and emerge from them with their central institutions intact is at the core of resilience. Quality of response, capacity to improvise, coordination, flexibility, and endurance are also determinants. Individual case studies, including Hurricane Katrina in the United States, the London bombings, and French preparedness for the Avian flu, demonstrate effective and ineffective strategies.  The contributors reveal how the complexity and global interconnectivity of modern systems—whether they are governments, mobile populations, power grids, financial systems, or the Internet—have transcended borders and created a new level of exposure that has made them especially vulnerable to extreme events. Yet these far-reaching global systems also possess the ability to alert and respond at greater speeds than ever before.  The authors analyze specific characteristics of resilient systems—the qualities they possess and how they become resilient—to determine if there are ways to build a system of resilience from the ground up. As such, Designing Resilience will inform a broad range of students and scholars in areas of public administration, public policy, and the social sciences.","container-title":"Designing Resilience: Preparing for Extreme Events","ISBN":"978-0-8229-7370-6","language":"en","note":"Google-Books-ID: ZN4LLw6YcmEC","page":"1-12","publisher":"University of Pittsburgh Pre","source":"Google Books","title":"The Rise of Resilience","editor":[{"family":"Comfort","given":"Louise K."},{"family":"Boin","given":"Arjen"},{"family":"Demchak","given":"Chris C."}],"author":[{"family":"Boin","given":"Arjen"},{"family":"Comfort","given":"Louise K."},{"family":"Demchak","given":"Chris C."}],"issued":{"date-parts":[["2010",9,19]]}},"locator":"4"}],"schema":"https://github.com/citation-style-language/schema/raw/master/csl-citation.json"}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2010, p. 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Prevention and preparedness are inherently multilevel responses, as local authorities typically function as early responders while higher levels of government provide resources, coordination and strategic oversight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{"citationID":"rvlZr3H6","properties":{"formattedCitation":"(Graf et al., 2024)","plainCitation":"(Graf et al., 2024)","noteIndex":0},"citationItems":[{"id":5007,"uris":["http://zotero.org/users/10684127/items/I4LVRPKZ"],"itemData":{"id":5007,"type":"article-journal","abstract":"Local public administrations are typically the first responders during disruptive crisis events. Building on literature on fast-response organizations, this study theorizes on their ability to transition effectively from routine bureaucracy to crisis mode. Empirically, we study early responses to COVID-19 in Germany with agency-level survey data. The findings suggest that an effective switch between practices cannot be explained by crisis severity alone. Instead, organizational, technical, and individual preparedness of local administrations matter. These results provide insights into the conditions that enable administrations to respond effectively to crisis events, offering a comprehensive understanding of crisis management capabilities at the local level.","container-title":"Public Management Review","DOI":"10.1080/14719037.2023.2242851","ISSN":"1471-9037","issue":"7","note":"publisher: Routledge\n_eprint: https://doi.org/10.1080/14719037.2023.2242851","page":"2039-2063","source":"Taylor and Francis+NEJM","title":"Ready, set, crisis – transitioning to crisis mode in local public administration","volume":"26","author":[{"family":"Graf","given":"Franziska"},{"family":"","given":"Lenz ,Alexa"},{"family":"Eckhard","given":"Steffen","non-dropping-particle":"and"}],"issued":{"date-parts":[["2024",7,2]]}}}],"schema":"https://github.com/citation-style-language/schema/raw/master/csl-citation.json"}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(Graf et al., 2024)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18367AF1"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When a crisis occurs, governments at all levels are expected to respond by containing the crisis, minimizing the damage, and preventing the breakdown of critical systems. In political systems with institutionalized multilevel governance arrangements, this response requires extensive coordination across territorial boundaries, as local authorities must work with regional and national levels that may control major resources and overall strategic decision-making authority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{"citationID":"dJve7okP","properties":{"formattedCitation":"(Comfort, 2007; Kuipers et al., 2015; Wimelius &amp; Engberg, 2015; Wolbers et al., 2018)","plainCitation":"(Comfort, 2007; Kuipers et al., 2015; Wimelius &amp; Engberg, 2015; Wolbers et al., 2018)","noteIndex":0},"citationItems":[{"id":512,"uris":["http://zotero.org/users/10684127/items/BPRKF9U4"],"itemData":{"id":512,"type":"article-journal","abstract":"This article argues that cognition is central to performance in emergency management. Cognition is defined as the capacity to recognize the degree of emerging risk to which a community is exposed and to act on that information. Using the case of Hurricane Katrina to illustrate the collapse of the standard model of emergency management without a clear focus on the role of cognition, the author reframes the concept of intergovernmental crisis management as a complex, adaptive system. That is, the system needs to adjust and adapt its performance to fit the demands of an ever-changing physical, engineered, and social environment. The terms of cognition, communication, coordination, and control are redefined in ways that fit the reality of practice in extreme events. A reframed intergovernmental crisis management system may be conceived as a dynamic interorganizational system that is characterized by four primary decision points: (1) detection of risk, (2) recognition and interpretation of risk for the immediate context, (3) communication of risk to multiple organizations in a wider region, and (4) self-organization and mobilization of a collective, community response system to reduce risk and respond to danger.","container-title":"Public Administration Review","DOI":"10.1111/j.1540-6210.2007.00827.x","ISSN":"1540-6210","issue":"s1","language":"en","note":"_eprint: https://onlinelibrary.wiley.com/doi/pdf/10.1111/j.1540-6210.2007.00827.x","page":"189-197","source":"Wiley Online Library","title":"Crisis Management in Hindsight: Cognition, Communication, Coordination, and Control","title-short":"Crisis Management in Hindsight","volume":"67","author":[{"family":"Comfort","given":"Louise K."}],"issued":{"date-parts":[["2007"]]}}},{"id":570,"uris":["http://zotero.org/users/10684127/items/HEJQMIIJ"],"itemData":{"id":570,"type":"article-journal","abstract":"A series of transboundary crises and disasters has increased pressure on European states to cooperate in the realm of crisis and disaster management. The European Union has taken an active role to connect national capacities of member states. Little is known, however, about the compatibilities of national civil protection systems. This article attempts to fill that void. We draw on a comparative study on 22 European states and highlight similarities as well as patterns of variation. We explore how different states define the role of government during crises and disasters; we map the administrative structures and procedures in place to provide civil security. We also assess the quality of these systems. Our findings reveal that administrative responsibilities, legal frameworks and operational practices differ markedly, as the national systems are rooted in national contexts and historical experiences. In the light of our findings, we contemplate what role the EU can play to build joint transboundary crisis management capacity.","container-title":"Risk, Hazards &amp; Crisis in Public Policy","DOI":"10.1002/rhc3.12070","ISSN":"1944-4079","issue":"1","language":"en","note":"_eprint: https://onlinelibrary.wiley.com/doi/pdf/10.1002/rhc3.12070","page":"1-21","source":"Wiley Online Library","title":"Building Joint Crisis Management Capacity? Comparing Civil Security Systems in 22 European Countries","title-short":"Building Joint Crisis Management Capacity?","volume":"6","author":[{"family":"Kuipers","given":"Sanneke"},{"family":"Boin","given":"Arjen"},{"family":"Bossong","given":"Raphael"},{"family":"Hegemann","given":"Hendrik"}],"issued":{"date-parts":[["2015"]]}}},{"id":497,"uris":["http://zotero.org/users/10684127/items/A5B4BLLT"],"itemData":{"id":497,"type":"article-journal","abstract":"In this article we explore and analyse Swedish Civil Defence Directors' views on coordination and cooperation in crisis management. The directors work at County Administrative Boards (CABs) which by law are required to coordinate all relevant actors – national agencies, municipal, private and voluntary – by leading their cooperation in extraordinary events. How do CABs manage this, especially against a backdrop of increasing demands on clarity, command, control and explicit goals in crisis management? Through the lens of research on governance we analyse the directors' views and find that although they support horizontal, inter-organizational network based coordination and cooperation, there is frustration regarding the decision-making capacities of the CABs, the lack of conflict management mechanisms in networks and resource allocation.","container-title":"Journal of Contingencies and Crisis Management","DOI":"10.1111/1468-5973.12048","ISSN":"1468-5973","issue":"3","language":"en","note":"_eprint: https://onlinelibrary.wiley.com/doi/pdf/10.1111/1468-5973.12048","page":"129-137","source":"Wiley Online Library","title":"Crisis Management through Network Coordination: Experiences of Swedish Civil Defence Directors","title-short":"Crisis Management through Network Coordination","volume":"23","author":[{"family":"Wimelius","given":"Malin E."},{"family":"Engberg","given":"Jan"}],"issued":{"date-parts":[["2015"]]}}},{"id":494,"uris":["http://zotero.org/users/10684127/items/KBTLJMVJ"],"itemData":{"id":494,"type":"article-journal","abstract":"Coordination theories are characterized primarily by a focus on integration, in which coordination is aimed at achieving a coherent and unified set of actions. However, in the extreme settings in which fast-response organizations operate, achieving integration is often challenging. In this study we employ a fragmentation perspective to show that dealing with ambiguity and discontinuity is not only inevitable for these organizations, it is a key characteristic of coordinating. We undertook an inductive, qualitative field study on how officers in command from the fire department, medical services, and police coordinate during emergency response operations. Our data are based on a four-year multi-site field study of 40 emergency management exercises in the Netherlands, combined with 56 retrospective interviews. Our inductive analysis of this data shows that officers use three coordination practices to deal with ambiguity and discontinuity: working around procedures, delegating tasks, and demarcating expertise. We theorize our findings by showing how these practices lead to conditions in which fragmentation can become an effective method of coordination. In doing so, we provide a more complete understanding of the process of coordinating in fast-response settings that will benefit both crisis management practice and organizational theory.","container-title":"Organization Studies","DOI":"10.1177/0170840617717095","ISSN":"0170-8406","issue":"11","note":"publisher: SAGE Publications Ltd","page":"1521-1546","source":"SAGE Journals","title":"Introducing a Fragmentation Perspective on Coordination in Crisis Management","volume":"39","author":[{"family":"Wolbers","given":"Jeroen"},{"family":"Boersma","given":"Kees"},{"family":"Groenewegen","given":"Peter"}],"issued":{"date-parts":[["2018",11,1]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(Comfort, 2007; Kuipers et al., 2015; </w:t>
      </w:r>
      <w:proofErr w:type="spellStart"/>
      <w:r w:rsidRPr="00CF1465">
        <w:rPr>
          <w:rFonts w:ascii="Times New Roman" w:eastAsia="Times New Roman" w:hAnsi="Times New Roman" w:cs="Times New Roman"/>
          <w:lang w:val="en-GB" w:eastAsia="en-GB"/>
        </w:rPr>
        <w:t>Wimelius</w:t>
      </w:r>
      <w:proofErr w:type="spellEnd"/>
      <w:r w:rsidRPr="00CF1465">
        <w:rPr>
          <w:rFonts w:ascii="Times New Roman" w:eastAsia="Times New Roman" w:hAnsi="Times New Roman" w:cs="Times New Roman"/>
          <w:lang w:val="en-GB" w:eastAsia="en-GB"/>
        </w:rPr>
        <w:t xml:space="preserve"> &amp; Engberg, 2015; Wolbers et al., 2018)</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These coordination efforts are further complicated by jurisdictional complexities – such as overlapping mandates, competing legal authorities, and unclear boundaries of responsibility – that can impede swift action during crises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{"citationID":"0GZNVe2u","properties":{"formattedCitation":"(Vampa, 2021)","plainCitation":"(Vampa, 2021)","noteIndex":0},"citationItems":[{"id":1441,"uris":["http://zotero.org/users/10684127/items/5HCFHPXC"],"itemData":{"id":1441,"type":"article-journal","abstract":"This article seeks to assess and explain territorial policy dynamics in five European countries—Italy, Spain, Germany, France and the United Kingdom—from the start of the COVID-19 pandemic up to early 2021. The crisis has clearly highlighted well-known differences between centralized and decentralized systems. Yet focusing on this dichotomy is not sufficient. It is suggested that, while the distribution of authority between central and regional governments matters, policy dynamics—that is, how different territorial levels interact in policy-making processes—are even more important in driving multi-level responses to the emergency. Whether these dynamics are hierarchical (France), competitive (Italy and Spain), cooperative (Germany) or mixed (the United Kingdom) depends on how pre-crisis institutional, sectoral and political “causal forces” moderate the impact of an exogenous shock.","container-title":"Publius: The Journal of Federalism","DOI":"10.1093/publius/pjab017","ISSN":"0048-5950","issue":"4","journalAbbreviation":"Publius: The Journal of Federalism","page":"601-626","source":"Silverchair","title":"COVID-19 and Territorial Policy Dynamics in Western Europe: Comparing France, Spain, Italy, Germany, and the United Kingdom","title-short":"COVID-19 and Territorial Policy Dynamics in Western Europe","volume":"51","author":[{"family":"Vampa","given":"Davide"}],"issued":{"date-parts":[["2021",10,1]]}}}],"schema":"https://github.com/citation-style-language/schema/raw/master/csl-citation.json"}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(Vampa,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7D172AE4"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In the acute crisis phase, crisis responses include elements of sense-making, decision-making and meaning-making by political and administrative elites at any level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{"citationID":"w7eQTdMj","properties":{"formattedCitation":"(Boin et al., 2005; Stern, 2013)","plainCitation":"(Boin et al., 2005; Stern, 2013)","noteIndex":0},"citationItems":[{"id":"p8bpfMTc/fk4pLIK3","uris":["http://zotero.org/users/5191464/items/5GJAM8EX"],"itemData":{"id":3002,"type":"book","abstract":"Crisis management has become a defining feature of contemporary governance. In times of crisis, communities and members of organizations expect their leaders to minimize the impact of the crisis at hand, while critics and bureaucratic competitors try to seize the moment to blame incumbent rulers and their policies. In this extreme environment, policy makers must somehow establish a sense of normality, and foster collective learning from the crisis experience. In this uniquely comprehensive analysis, the authors examine how leaders deal with the strategic challenges they face, the political risks and opportunities they encounter, the errors they make, the pitfalls they need to avoid, and the paths away from crisis they may pursue. This book is grounded in over a decade of collaborative, cross-national case study research, and offers an invaluable multidisciplinary perspective. This is an original and important contribution from experts in public policy and international security.","event-place":"Cambridge","note":"DOI: 10.1017/CBO9780511490880","publisher":"Cambridge University Press","publisher-place":"Cambridge","source":"Cambridge University Press","title":"The Politics of Crisis Management: Public Leadership Under Pressure","title-short":"The Politics of Crisis Management","URL":"https://www.cambridge.org/core/books/politics-of-crisis-management/D91A08EC1089E0463A1BEDBF244176FA","author":[{"family":"Boin","given":"Arjen"},{"family":"Hart","given":"Paul","non-dropping-particle":"'t"},{"family":"Stern","given":"Eric"},{"family":"Sundelius","given":"Bengt"}],"accessed":{"date-parts":[["2022",11,6]]},"issued":{"date-parts":[["2005"]]}}},{"id":477,"uris":["http://zotero.org/users/10684127/items/LWN6L92V"],"itemData":{"id":477,"type":"article-journal","container-title":"Journal of Leadership Studies","DOI":"10.1002/jls.21298","ISSN":"1935-262X","issue":"3","language":"en","note":"_eprint: https://onlinelibrary.wiley.com/doi/pdf/10.1002/jls.21298","page":"51-56","source":"Wiley Online Library","title":"Preparing: The Sixth Task of Crisis Leadership","title-short":"Preparing","volume":"7","author":[{"family":"Stern","given":"Eric"}],"issued":{"date-parts":[["2013"]]}}}],"schema":"https://github.com/citation-style-language/schema/raw/master/csl-citation.json"}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(Boin et al., 2005; Stern, 2013)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Confronted with a crisis, leaders need to “make sense” of a crisis by collecting information and developing an adequate interpretation of the ongoing situation, while they must make tough decisions about how to deal with scarce resources and how to weigh risks and opportunities. Leaders are further involved in meaning-making processes during the phase of crisis response, in which they have to give meaning to crisis events and present a compelling story of the crisis in such a way that their decisions will be understood and respected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{"citationID":"UcDVSCww","properties":{"formattedCitation":"(see also Christensen &amp; L\\uc0\\u230{}greid, 2020)","plainCitation":"(see also Christensen &amp; Lægreid, 2020)","noteIndex":0},"citationItems":[{"id":962,"uris":["http://zotero.org/users/10684127/items/FILPVHLB"],"itemData":{"id":962,"type":"article-journal","abstract":"This article addresses the Norwegian government’s meaning-making, crises communication and reputation management during the Corona pandemic crisis. It argues that reputation management can be seen as a combination of governance capacity and legitimacy reflected in a well performing crisis communication and meaning-making. Under the slogan “working together” the government emphasized the need for a supportive and cohesive culture in order to to balance efforts at increasing governance capacity as well as governance legitimacy, through shaping a common understanding and broad consensus on what the crisis was about and what needed to be done to deal with it. A main lesson learned from the Norwegian case is that the effectiveness of the government in controlling the pandemic was enhanced by successful meaning-making and communication with the public, and to the high level of citizens’ trust in government.","container-title":"International Public Management Journal","DOI":"10.1080/10967494.2020.1812455","ISSN":"1096-7494","issue":"5","page":"713-729","source":"Taylor and Francis+NEJM","title":"The coronavirus crisis—crisis communication, meaning-making, and reputation management","volume":"23","author":[{"family":"Christensen","given":"Tom"},{"family":"Lægreid","given":"Per"}],"issued":{"date-parts":[["2020",9,22]]}},"prefix":"see also"}],"schema":"https://github.com/citation-style-language/schema/raw/master/csl-citation.json"}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(see also Christensen &amp; Lægreid, 2020)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This is particularly challenging for crises that are transboundary and transnational in nature as they blur the organizational boundaries within governance structures and require authorities at multiple levels to coordinate sense-making and meaning-making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{"citationID":"hOc70JFN","properties":{"formattedCitation":"(Blondin &amp; Boin, 2020)","plainCitation":"(Blondin &amp; Boin, 2020)","noteIndex":0},"citationItems":[{"id":"p8bpfMTc/lgF5Xkdl","uris":["http://zotero.org/users/5191464/items/8N3DWN6T"],"itemData":{"id":3102,"type":"article-journal","abstract":"The nation state is discovering the limits of its crisis management capacities. The Ebola and Zika outbreaks, the financial crisis, the downing of flight MH17 over Ukraine, sinking ships overfilled with refugees, cyber-attacks, urban terrorism and existential environmental threats serve as strong reminders of the complex origins and transboundary dimensions of many contemporary crises and disasters. As these transboundary aspects of modern crises become increasingly manifest, the need for international, collaborative responses appears ever clearer. But that collaboration does not always emerge in time (or at all). Even in the European Union, which has various transboundary crisis management mechanisms in place, the willingness to initiate joint crisis responses varies. This observation prompted our research question: Why do states collaborate in response to some transboundary crises but not others? We bring together the crisis and collective action literatures to formulate a theoretical framework that can help answer this question. This article identifies crucial factors that facilitate a possible pathway toward a joint response.","container-title":"Perspectives on Public Management and Governance","DOI":"10.1093/ppmgov/gvz031","ISSN":"2398-4910","issue":"3","journalAbbreviation":"Perspectives on Public Management and Governance","page":"197-209","source":"Silverchair","title":"Cooperation in the Face of Transboundary Crisis: A Framework for Analysis","title-short":"Cooperation in the Face of Transboundary Crisis","volume":"3","author":[{"family":"Blondin","given":"Donald"},{"family":"Boin","given":"Arjen"}],"issued":{"date-parts":[["2020",8,27]]}}}],"schema":"https://github.com/citation-style-language/schema/raw/master/csl-citation.json"}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(Blondin &amp; Boin, 2020)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7CD567A2" w14:textId="77777777" w:rsidR="00CC5602" w:rsidRPr="00CF1465" w:rsidRDefault="00CC5602" w:rsidP="00CC5602">
      <w:pPr>
        <w:spacing w:after="0" w:line="480" w:lineRule="auto"/>
        <w:ind w:firstLine="708"/>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In the post-crisis phase, processes of recovery, learning and accountability unfold with MLG systems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{"citationID":"8gsuz41w","properties":{"formattedCitation":"(Boin et al., 2005)","plainCitation":"(Boin et al., 2005)","noteIndex":0},"citationItems":[{"id":"p8bpfMTc/fk4pLIK3","uris":["http://zotero.org/users/5191464/items/5GJAM8EX"],"itemData":{"id":"ELxStzg7/5ojqhgoK","type":"book","abstract":"Crisis management has become a defining feature of contemporary governance. In times of crisis, communities and members of organizations expect their leaders to minimize the impact of the crisis at hand, while critics and bureaucratic competitors try to seize the moment to blame incumbent rulers and their policies. In this extreme environment, policy makers must somehow establish a sense of normality, and foster collective learning from the crisis experience. In this uniquely comprehensive analysis, the authors examine how leaders deal with the strategic challenges they face, the political risks and opportunities they encounter, the errors they make, the pitfalls they need to avoid, and the paths away from crisis they may pursue. This book is grounded in over a decade of collaborative, cross-national case study research, and offers an invaluable multidisciplinary perspective. This is an original and important contribution from experts in public policy and international security.","event-place":"Cambridge","note":"DOI: 10.1017/CBO9780511490880","publisher":"Cambridge University Press","publisher-place":"Cambridge","source":"Cambridge University Press","title":"The Politics of Crisis Management: Public Leadership Under Pressure","title-short":"The Politics of Crisis Management","URL":"https://www.cambridge.org/core/books/politics-of-crisis-management/D91A08EC1089E0463A1BEDBF244176FA","author":[{"family":"Boin","given":"Arjen"},{"family":"Hart","given":"Paul","non-dropping-particle":"'t"},{"family":"Stern","given":"Eric"},{"family":"Sundelius","given":"Bengt"}],"accessed":{"date-parts":[["2022",11,6]]},"issued":{"date-parts":[["2005"]]}}}],"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(Boin et al., 2005)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After the acute phase of a crisis, a main challenge for governmental authorities reflects how to return to normalcy and ensure recovery and reconstruction within societies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{"citationID":"dir1wpZ8","properties":{"formattedCitation":"(\\uc0\\u8217{}t Hart &amp; Boin, 2001)","plainCitation":"(’t Hart &amp; Boin, 2001)","noteIndex":0},"citationItems":[{"id":547,"uris":["http://zotero.org/users/10684127/items/PHRLIVLZ"],"itemData":{"id":547,"type":"chapter","container-title":"Managing Crises: Threats, Dilemmas, Opportunities","page":"28-46","publisher":"Charles C. Thomas Publisher Ltd","source":"ResearchGate","title":"Between Crisis and Normalcy: The Long Shadow of Post-Crisis Politics","title-short":"Between Crisis and Normalcy","author":[{"family":"Hart","given":"Paul","non-dropping-particle":"'t"},{"family":"Boin","given":"Arjen"}],"editor":[{"family":"Rosenthal","given":"Uriel"},{"family":"Boin","given":"Arjen"},{"family":"Comfort","given":"Louise K."}],"issued":{"date-parts":[["2001",1,1]]}}}],"schema":"https://github.com/citation-style-language/schema/raw/master/csl-citation.json"}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(’t Hart &amp; Boin, 2001)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the aftermath of a crisis, learning becomes also important, as crisis-induced learning can be helpful for the improvement of the crisis responses of public authorities by formulating lessons for the prevention and preparation for future crises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{"citationID":"6puXkcH5","properties":{"formattedCitation":"(Broekema, 2016; Deverell, 2009)","plainCitation":"(Broekema, 2016; Deverell, 2009)","noteIndex":0},"citationItems":[{"id":475,"uris":["http://zotero.org/users/10684127/items/YAK9HTXG"],"itemData":{"id":475,"type":"article-journal","abstract":"This article explores the relation between issue politicization and crisis-induced learning by the EU. We performed a political claims analysis on the political response to the four major oil spill disasters that have occurred in European waters since 1993. Political claims that we observed in three arenas (mass media, national parliaments, and the European Parliament) were compared with recommendations in post-crisis evaluation reports and the EU's legislative responses. For all three political arenas our findings indicate that politicization of issues either promotes or impedes crisis-induced EU learning, which points to the existence of determining intervening factors. EU legislation that is adopted in response to oil spill disasters appears to a large extent grounded in crisis evaluation reports. Characteristics of crisis evaluation reports, especially the degree of international focus, seem to offer a more plausible explanation for variance in crisis-induced learning outcomes than politicization.","container-title":"Public Administration","DOI":"10.1111/padm.12170","ISSN":"1467-9299","issue":"2","language":"en","note":"_eprint: https://onlinelibrary.wiley.com/doi/pdf/10.1111/padm.12170","page":"381-398","source":"Wiley Online Library","title":"Crisis-Induced Learning and Issue Politicization in the Eu: The Braer, Sea Empress, Erika, and Prestige Oil Spill Disasters","title-short":"Crisis-Induced Learning and Issue Politicization in the Eu","volume":"94","author":[{"family":"Broekema","given":"Wout"}],"issued":{"date-parts":[["2016"]]}}},{"id":498,"uris":["http://zotero.org/users/10684127/items/GB5ZLUXJ"],"itemData":{"id":498,"type":"article-journal","abstract":"This article contributes to the debate on organizational learning from crisis by shedding light on the phenomenon of crises as learning triggers. To unveil theoretical patterns of how organizational crisis-induced learning may appear and develop, I suggest a conceptual framework based on concept categories and answers to four fundamental questions: what lessons are learned (single- or double-loop)?; what is the focus of the lessons (prevention or response)?; when are lessons learned (intra- or intercrisis)?; is learning blocked from implementation or carried out (distilled or implemented)? The framework's applicability is explored in a study of how a Swedish utility and the city of Stockholm responded to two large-scale blackouts in Stockholm. The final sections suggest four propositions for further research.","container-title":"Journal of Contingencies and Crisis Management","DOI":"10.1111/j.1468-5973.2009.00578.x","ISSN":"1468-5973","issue":"3","language":"en","note":"_eprint: https://onlinelibrary.wiley.com/doi/pdf/10.1111/j.1468-5973.2009.00578.x","page":"179-188","source":"Wiley Online Library","title":"Crises as Learning Triggers: Exploring a Conceptual Framework of Crisis-Induced Learning","title-short":"Crises as Learning Triggers","volume":"17","author":[{"family":"Deverell","given":"Edward"}],"issued":{"date-parts":[["2009"]]}}}],"schema":"https://github.com/citation-style-language/schema/raw/master/csl-citation.json"}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(Broekema, 2016; Deverell, 2009)</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Nevertheless, crisis-induced learning can be highly complex and challenging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{"citationID":"dnAfqQeJ","properties":{"formattedCitation":"(Stern, 1997)","plainCitation":"(Stern, 1997)","noteIndex":0},"citationItems":[{"id":569,"uris":["http://zotero.org/users/10684127/items/G36VAIXT"],"itemData":{"id":569,"type":"article-journal","abstract":"Can governments learn? The title of an influential monograph by a leading political psychologist (Etheredge, 1985) posed this seemingly simplistic question. At first glance, the obvious answer to such a blunt question would appear to be ‘of course’. Governments (and government agencies) persist in spite of, or in some cases because of, dynamic and often hostile political environments. This would seem to indicate that a significant degree of learning is taking place. Yet many scholars, including Etheredge 1985 himself, are markedly skeptical about the learning capacity of policy-makers and governmental organizations and argue that governments learn poorly or slowly at best (Sabatier, 1987; Lebovic, 1995: 835). How can this be? Is this apparent paradox an artefact of the ways in which scholars define and operationalize the concept of learning? Part one of the article will present a brief and selective survey of the diverse inter-disciplinary literature on policy and political learning. This preliminary conceptual analysis identifies several difficult issues. Among the most serious is the ontological question (who or what learns?) and the problem of distinguishing learning from other types of political change, which raises thorny normative and methodological questions. The second part of the article brings the concept of crisis into the learning equation. It has been hypothesized by a number of scholars (George, 1980; Goldmann, 1988; Young, 1989; Olsen, 1992) that conditions associated with policy crises, and their aftermath, may facilitate learning and change and contribute to overcoming the governmental inertia and political dynamics which often inhibit learning under ‘normal’ conditions. For example, it is argued that the experience of crises may contribute to a posture of cognitive openness conducive to individual and collective learning. Crisis experiences tend to re-order the political agenda, stimulate an appetite for change and reform on the part of the electorate and the mass media and, thus, create moments of political possibility, ‘policy windows’ (Kingdon, 1984), which create opportunities for agile reformers before they close. A ‘balance-sheet’ approach is used in order to examine the plausibility of the crisis-learning hypothesis. This entails posing twin questions. First, what are the characteristics of crisis situations (or political systems which have experienced crises) likely to promote governmental learning? Secondly, what are the characteristics of crisis situations (or political systems which have experienced crises) likely to create obstacles to learning? Some preliminary thoughts on how to go about conducting empirical research in this area, and some reflections upon the results of the conceptual analysis, are presented in the last two sections of the article.","container-title":"Journal of Contingencies and Crisis Management","DOI":"10.1111/1468-5973.00039","ISSN":"1468-5973","issue":"2","language":"en","note":"_eprint: https://onlinelibrary.wiley.com/doi/pdf/10.1111/1468-5973.00039","page":"69-86","source":"Wiley Online Library","title":"Crisis and Learning: A Conceptual Balance Sheet","title-short":"Crisis and Learning","volume":"5","author":[{"family":"Stern","given":"Eric"}],"issued":{"date-parts":[["1997"]]}}}],"schema":"https://github.com/citation-style-language/schema/raw/master/csl-citation.json"}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(Stern, 1997)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multilevel systems, this learning process must occur both within and across levels of government, requiring mechanisms for sharing lessons vertically and horizontally. In the post-crisis phase, crisis-related framing remains of high relevance, because it can shape post-crisis pathways that occur whereby the dominant frame out of these meaning-making processes will determine whether a crisis leads to learning and reform or results in ongoing blame games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{"citationID":"9unBu8Bv","properties":{"formattedCitation":"(Boin &amp; \\uc0\\u8216{}t Hart, 2022)","plainCitation":"(Boin &amp; ‘t Hart, 2022)","noteIndex":0},"citationItems":[{"id":1232,"uris":["http://zotero.org/users/10684127/items/I2PMYJ92"],"itemData":{"id":1232,"type":"article-journal","abstract":"Crises are often viewed as catalysts for change. The coronavirus disease crisis is no exception. In many policy sectors, proponents of reform see this global crisis both as a justification and an enabler of necessary change. Policy scholars have paid ample attention to this crisis-reform thesis. Empirical research suggests that these proponents of crisis-induced change should not be too optimistic. The question remains why some crises give rise to reform whereas so many others do not. This paper focuses on one particular factor that crisis researchers have identified as important. Crisis research suggests that the outcome of the meaning-making process—the efforts to impose a dominant frame on a population—shapes the prospects of postcrisis change. The paper offers three ideal-typical framing scripts, which researchers can use to study postcrisis trajectories.","container-title":"Policy and Society","DOI":"10.1093/polsoc/puab007","ISSN":"1449-4035","issue":"1","journalAbbreviation":"Policy and Society","page":"13-24","source":"Silverchair","title":"From crisis to reform? Exploring three post-COVID pathways","title-short":"From crisis to reform?","volume":"41","author":[{"family":"Boin","given":"Arjen"},{"family":"‘t Hart","given":"Paul"}],"issued":{"date-parts":[["2022",3,1]]}}}],"schema":"https://github.com/citation-style-language/schema/raw/master/csl-citation.json"}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Calibri" w:hAnsi="Times New Roman" w:cs="Times New Roman"/>
          <w:lang w:val="en-GB" w:eastAsia="en-GB"/>
        </w:rPr>
        <w:t>(Boin &amp; ‘t Hart,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In multilevel governance contexts, accountability is particularly complex as responsibilities for crisis outcomes are distributed across multiple levels, making it difficult to determine who should be held accountable for which elements of a crisis response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{"citationID":"K5Bx0eIu","properties":{"formattedCitation":"(Kuipers &amp; \\uc0\\u8217{}t Hart, 2014)","plainCitation":"(Kuipers &amp; ’t Hart, 2014)","noteIndex":0},"citationItems":[{"id":"p8bpfMTc/bI7Bui0l","uris":["http://zotero.org/users/5191464/items/769JD46Z"],"itemData":{"id":"bbSpal7a/tRpuIRMx","type":"chapter","container-title":"The Oxford Handbook of Public Accountability","event-place":"New York","language":"en","page":"589-602","publisher":"Oxford University Press","publisher-place":"New York","title":"Accounting for Crises","author":[{"family":"Kuipers","given":"Sanneke"},{"family":"Hart","given":"Paul","non-dropping-particle":"'t"}],"editor":[{"family":"Bovens","given":"Mark"},{"family":"Goodin","given":"Robert E."},{"family":"Schillemans","given":"Thomas"}],"issued":{"date-parts":[["2014"]]}}}],"schema":"https://github.com/citation-style-language/schema/raw/master/csl-citation.json"}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(Kuipers &amp; ’t Hart, 2014)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21F5A6F7" w14:textId="77777777" w:rsidR="00CC5602" w:rsidRPr="00CF1465" w:rsidRDefault="00CC5602" w:rsidP="00CC5602">
      <w:pPr>
        <w:spacing w:after="0" w:line="480" w:lineRule="auto"/>
        <w:ind w:firstLine="708"/>
        <w:rPr>
          <w:rFonts w:ascii="Times New Roman" w:eastAsia="Times New Roman" w:hAnsi="Times New Roman" w:cs="Times New Roman"/>
          <w:lang w:val="en-US" w:eastAsia="en-GB"/>
        </w:rPr>
      </w:pPr>
      <w:r w:rsidRPr="00CF1465">
        <w:rPr>
          <w:rFonts w:ascii="Times New Roman" w:eastAsia="Times New Roman" w:hAnsi="Times New Roman" w:cs="Times New Roman"/>
          <w:lang w:val="en-GB" w:eastAsia="en-GB"/>
        </w:rPr>
        <w:t xml:space="preserve">As such, crisis management in MLG systems presents political authorities with a range of different authorities before, during and after a crisis. When confronted with a crisis, authorities have to consider both the professional and political dimensions of transboundary crisis management. Meanwhile, they have to navigate fragmented and overlapping authorities in MLG systems. In all phases of crisis management, the effectiveness of governmental actions and decisions is of important concern. Next to these capacity challenges, governmental authorities must also consider the legitimacy of their crisis management activities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{"citationID":"sSKjAMQO","properties":{"formattedCitation":"(Christensen et al., 2016)","plainCitation":"(Christensen et al., 2016)","noteIndex":0},"citationItems":[{"id":"p8bpfMTc/maxcEoHx","uris":["http://zotero.org/users/5191464/items/YY8LV5XC"],"itemData":{"id":"p8bpfMTc/maxcEoHx","type":"article-journal","abstract":"What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(Christensen et al., 2016)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681327F9"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spacing w:val="5"/>
          <w:kern w:val="32"/>
          <w:szCs w:val="32"/>
          <w:lang w:val="en-GB" w:eastAsia="en-GB"/>
        </w:rPr>
      </w:pPr>
      <w:r w:rsidRPr="00CF1465">
        <w:rPr>
          <w:rFonts w:ascii="Times New Roman" w:eastAsia="Times New Roman" w:hAnsi="Times New Roman" w:cs="Arial"/>
          <w:b/>
          <w:bCs/>
          <w:kern w:val="32"/>
          <w:szCs w:val="32"/>
          <w:lang w:val="en-GB" w:eastAsia="en-GB"/>
        </w:rPr>
        <w:t>Understanding legitimacy in crisis contexts</w:t>
      </w:r>
    </w:p>
    <w:p w14:paraId="41F157EB"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Crises, including the COVID-19 pandemic, presented governments worldwide with an unprecedented test of their legitimacy when they imposed lockdowns restricting fundamental freedoms. Variation in compliance ranged from widespread voluntary adherence in some countries to protests and resistance in </w:t>
      </w:r>
      <w:r w:rsidRPr="00CF1465">
        <w:rPr>
          <w:rFonts w:ascii="Times New Roman" w:eastAsia="Times New Roman" w:hAnsi="Times New Roman" w:cs="Times New Roman"/>
          <w:lang w:val="en-GB" w:eastAsia="en-GB"/>
        </w:rPr>
        <w:lastRenderedPageBreak/>
        <w:t xml:space="preserve">others and revealed how legitimacy during crisis faces intense and unique challenges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{"citationID":"UB7ewCzc","properties":{"formattedCitation":"(Kriesi &amp; Oana, 2023)","plainCitation":"(Kriesi &amp; Oana, 2023)","noteIndex":0},"citationItems":[{"id":16,"uris":["http://zotero.org/users/10684127/items/MFVSKYZT"],"itemData":{"id":16,"type":"article-journal","container-title":"Journal of European Public Policy","DOI":"10.1080/13501763.2022.2140819","ISSN":"1350-1763, 1466-4429","issue":"4","journalAbbreviation":"Journal of European Public Policy","language":"en","page":"740-765","source":"DOI.org (Crossref)","title":"Protest in unlikely times: dynamics of collective mobilization in Europe during the COVID-19 crisis","title-short":"Protest in unlikely times","volume":"30","author":[{"family":"Kriesi","given":"Hanspeter"},{"family":"Oana","given":"Ioana-Elena"}],"issued":{"date-parts":[["2023",4,3]]}}}],"schema":"https://github.com/citation-style-language/schema/raw/master/csl-citation.json"}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Kriesi</w:t>
      </w:r>
      <w:proofErr w:type="spellEnd"/>
      <w:r w:rsidRPr="00CF1465">
        <w:rPr>
          <w:rFonts w:ascii="Times New Roman" w:eastAsia="Times New Roman" w:hAnsi="Times New Roman" w:cs="Times New Roman"/>
          <w:lang w:val="en-GB" w:eastAsia="en-GB"/>
        </w:rPr>
        <w:t xml:space="preserve"> &amp; Oana, 2023)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This variation suggests that understanding legitimacy in crisis contexts requires moving beyond conceptualizing political legitimacy generally to examining specific challenges that emerge when governments must act swiftly under conditions of extreme uncertainty.</w:t>
      </w:r>
    </w:p>
    <w:p w14:paraId="62C6B1C1"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Crises fundamentally alter how the legitimacy of government action is constructed and maintained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{"citationID":"CkdXs3Ju","properties":{"formattedCitation":"(Schmidt, 2022)","plainCitation":"(Schmidt, 2022)","noteIndex":0},"citationItems":[{"id":670,"uris":["http://zotero.org/users/10684127/items/X7PRCMGR"],"itemData":{"id":670,"type":"article-journal","abstract":"Emergency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(Schmidt,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While political authorities may enter a crisis with their legitimacy intact, having been democratically elected and legally empowered to govern, the extraordinary measures that crises demand often strain these legitimacy foundations. Emergency restrictions, resource allocations, and other rapid decisions must somehow be rendered acceptable to citizens without the benefit of extensive consultation, deliberation, or established precedent. Crisis governance thus operates under distinct constraints that complicate traditional routes to policy legitimacy. </w:t>
      </w:r>
    </w:p>
    <w:p w14:paraId="7B9E1BB7"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First, crises compress the temporal dimension of governance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{"citationID":"C5fsfQZB","properties":{"formattedCitation":"(Vogt &amp; V\\uc0\\u228{}rtt\\uc0\\u246{}, 2024)","plainCitation":"(Vogt &amp; Värttö, 2024)","noteIndex":0},"citationItems":[{"id":5016,"uris":["http://zotero.org/users/10684127/items/QPHZ2NLF"],"itemData":{"id":5016,"type":"article-journal","abstract":"Crises transform the temporal orientation of political decision-making. They demand immediate and decisive action and thus convert time into a means of political control. In these circumstances, assessing the long-term consequences of proposed policies with respect to welfare, sustainability or justice also becomes demanding. Yet crisis conditions may also contain of elements that can enable positive postcrisis societal changes. Crises can offer opportunities for new developmental measures and building a better future—something political leaders may capitalise on in their agenda-setting. By analysing the programmes of the post-2014 Finnish and Swedish governments, this paper seeks to make sense of how the current crisis mode has shaped these countries' politics in terms of their temporal horizons. The analysis focuses on three main perspectives or forms of articulation—innovative stabilisation, long-termism and synchronisation—by way of which these governments seek to navigate through crises-afflicted times and offer a desirable future direction for their respective societies. The analysis offers important insights into the (unused) potential of crises to achieve something substantially novel in the Nordic and European political landscape, ultimately advancing the conditions for a future-regarding democratic system.","container-title":"Scandinavian Political Studies","DOI":"10.1111/1467-9477.12296","ISSN":"1467-9477","language":"en","license":"© 2024 The Author(s). Scandinavian Political Studies published by John Wiley &amp; Sons Ltd on behalf of Nordic Political Science Association.","note":"_eprint: https://onlinelibrary.wiley.com/doi/pdf/10.1111/1467-9477.12296","page":"1-24","source":"Wiley Online Library","title":"Crisis, temporality and governmental policy agendas: The cases of Finland and Sweden","title-short":"Crisis, temporality and governmental policy agendas","volume":"Online first publication","author":[{"family":"Vogt","given":"Henri"},{"family":"Värttö","given":"Mikko"}],"issued":{"date-parts":[["2024"]]}},"label":"page"}],"schema":"https://github.com/citation-style-language/schema/raw/master/csl-citation.json"}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(Vogt &amp; </w:t>
      </w:r>
      <w:proofErr w:type="spellStart"/>
      <w:r w:rsidRPr="00CF1465">
        <w:rPr>
          <w:rFonts w:ascii="Times New Roman" w:eastAsia="Times New Roman" w:hAnsi="Times New Roman" w:cs="Times New Roman"/>
          <w:lang w:val="en-GB" w:eastAsia="en-GB"/>
        </w:rPr>
        <w:t>Värttö</w:t>
      </w:r>
      <w:proofErr w:type="spellEnd"/>
      <w:r w:rsidRPr="00CF1465">
        <w:rPr>
          <w:rFonts w:ascii="Times New Roman" w:eastAsia="Times New Roman" w:hAnsi="Times New Roman" w:cs="Times New Roman"/>
          <w:lang w:val="en-GB" w:eastAsia="en-GB"/>
        </w:rPr>
        <w:t>, 2024)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Rapidly unfolding events on the ground outpace the ability of governments to respond effectively. This can create “a temporal gap…between the measures that citizens widely desire and the realisation of them” (p. 4). The effectiveness and speed required for government action in crisis is used to justify the suspension of “traditional democratic processes of citizen representation and even parliamentary consultation expected for political (input) legitimacy”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{"citationID":"HTQogQf3","properties":{"formattedCitation":"(Schmidt, 2022, p. 982)","plainCitation":"(Schmidt, 2022, p. 982)","noteIndex":0},"citationItems":[{"id":670,"uris":["http://zotero.org/users/10684127/items/X7PRCMGR"],"itemData":{"id":670,"type":"article-journal","abstract":"Emergency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legitimacy","volume":"29","author":[{"family":"Schmidt","given":"Vivien"}],"issued":{"date-parts":[["2022",6,3]]}},"locator":"982","label":"page"}],"schema":"https://github.com/citation-style-language/schema/raw/master/csl-citation.json"}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(Schmidt, 2022, p. 982)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W</w:t>
      </w:r>
      <w:r w:rsidRPr="00CF1465">
        <w:rPr>
          <w:rFonts w:ascii="Times New Roman" w:eastAsia="Calibri" w:hAnsi="Times New Roman" w:cs="Times New Roman"/>
          <w:lang w:val="en-US" w:eastAsia="en-GB"/>
        </w:rPr>
        <w:t xml:space="preserve">hen a crisis requires quick decision-making, </w:t>
      </w:r>
      <w:r w:rsidRPr="00CF1465">
        <w:rPr>
          <w:rFonts w:ascii="Times New Roman" w:eastAsia="Calibri" w:hAnsi="Times New Roman" w:cs="Times New Roman"/>
          <w:lang w:val="en-GB" w:eastAsia="en-GB"/>
        </w:rPr>
        <w:t xml:space="preserve">“normal democratic principles and accountability relations are likely to be put on hold” </w:t>
      </w:r>
      <w:r w:rsidRPr="00CF1465">
        <w:rPr>
          <w:rFonts w:ascii="Times New Roman" w:eastAsia="Calibri" w:hAnsi="Times New Roman" w:cs="Times New Roman"/>
          <w:lang w:val="en-GB" w:eastAsia="en-GB"/>
        </w:rPr>
        <w:fldChar w:fldCharType="begin"/>
      </w:r>
      <w:r w:rsidRPr="00CF1465">
        <w:rPr>
          <w:rFonts w:ascii="Times New Roman" w:eastAsia="Calibri" w:hAnsi="Times New Roman" w:cs="Times New Roman"/>
          <w:lang w:val="en-GB" w:eastAsia="en-GB"/>
        </w:rPr>
        <w:instrText xml:space="preserve"> ADDIN ZOTERO_ITEM CSL_CITATION {"citationID":"TV4KnmFh","properties":{"formattedCitation":"(Goetz &amp; Martinsen, 2021, p. 1009)","plainCitation":"(Goetz &amp; Martinsen, 2021, p. 1009)","noteIndex":0},"citationItems":[{"id":"p8bpfMTc/yx5afFXu","uris":["http://zotero.org/users/5191464/items/844G4SDY"],"itemData":{"id":2888,"type":"article-journal","abstract":"This article introduces a special issue of West European Politics on the COVID-19 crisis. It first sets out the dual challenge to democratic principles and democratic performance that the COVID-19 pandemic has posed to European liberal democracies. Three bodies of scholarship are especially relevant in framing this dual democratic challenge: those that provide accounts of policy, institutional and legitimacy crises; accounts of the governance of emergencies and of emergency politics; and accounts of political turbulence and organisational and policy responses. The articles that comprise the special issue provide comparative empirical insights into first reactions, with a focus on the responses by political decision-makers, European publics and the EU. Assessments of the likely longer-term, potentially transformative effects of COVID-19 on the principles and performance of European liberal democracies will need to draw on both sectoral and systemic perspectives, with a focus on the organisation and operation of public authority and the state.","container-title":"West European Politics","DOI":"10.1080/01402382.2021.1930463","ISSN":"0140-2382","issue":"5-6","note":"publisher: Routledge\n_eprint: https://doi.org/10.1080/01402382.2021.1930463","page":"1003-1024","source":"Taylor and Francis+NEJM","title":"COVID-19: a dual challenge to European liberal democracy","title-short":"COVID-19","volume":"44","author":[{"family":"Goetz","given":"Klaus H."},{"family":"Martinsen","given":"Dorte Sindbjerg"}],"issued":{"date-parts":[["2021",9,19]]}},"locator":"1009","label":"page"}],"schema":"https://github.com/citation-style-language/schema/raw/master/csl-citation.json"} </w:instrText>
      </w:r>
      <w:r w:rsidRPr="00CF1465">
        <w:rPr>
          <w:rFonts w:ascii="Times New Roman" w:eastAsia="Calibri" w:hAnsi="Times New Roman" w:cs="Times New Roman"/>
          <w:lang w:val="en-GB" w:eastAsia="en-GB"/>
        </w:rPr>
        <w:fldChar w:fldCharType="separate"/>
      </w:r>
      <w:r w:rsidRPr="00CF1465">
        <w:rPr>
          <w:rFonts w:ascii="Times New Roman" w:eastAsia="Calibri" w:hAnsi="Times New Roman" w:cs="Times New Roman"/>
          <w:lang w:val="en-US"/>
        </w:rPr>
        <w:t>(Goetz &amp; Martinsen, 2021, p. 1009)</w:t>
      </w:r>
      <w:r w:rsidRPr="00CF1465">
        <w:rPr>
          <w:rFonts w:ascii="Times New Roman" w:eastAsia="Calibri" w:hAnsi="Times New Roman" w:cs="Times New Roman"/>
          <w:lang w:eastAsia="en-GB"/>
        </w:rPr>
        <w:fldChar w:fldCharType="end"/>
      </w:r>
      <w:r w:rsidRPr="00CF1465">
        <w:rPr>
          <w:rFonts w:ascii="Times New Roman" w:eastAsia="Calibri" w:hAnsi="Times New Roman" w:cs="Times New Roman"/>
          <w:lang w:val="en-GB" w:eastAsia="en-GB"/>
        </w:rPr>
        <w:t xml:space="preserve">. When </w:t>
      </w:r>
      <w:r w:rsidRPr="00CF1465">
        <w:rPr>
          <w:rFonts w:ascii="Times New Roman" w:eastAsia="Times New Roman" w:hAnsi="Times New Roman" w:cs="Times New Roman"/>
          <w:lang w:val="en-GB" w:eastAsia="en-GB"/>
        </w:rPr>
        <w:t xml:space="preserve">State of emergency legislation represents an institutional acknowledgement of this temporal challenge by pre-authorizing the executive to bypass normal procedures, and possibly even suspend civil liberties, when speed is essential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{"citationID":"KFaKcUmP","properties":{"formattedCitation":"(Bj\\uc0\\u248{}rnskov &amp; Voigt, 2022)","plainCitation":"(Bjørnskov &amp; Voigt, 2022)","noteIndex":0},"citationItems":[{"id":5012,"uris":["http://zotero.org/users/10684127/items/RK29G4XZ"],"itemData":{"id":5012,"type":"article-journal","abstract":"Nine out of 10 constitutions contain explicit emergency provisions, intended to help governments cope with extraordinary events that endanger many people or the existence of the state. We ask two questions: (1) does the constitutionalization of emergency provisions help governments to cope with disasters and other extraordinary events? (2) What particular parts of emergency constitutions fare best? We find that the more advantages emergency constitutions confer to the executive, the higher the number of people killed as a consequence of a natural disaster, controlling for its severity. As this is an unexpected result, we discuss a number of potential explanations, the most plausible being that governments use natural disasters as a pretext to enhance their power. Furthermore, the easier it is to call a state of emergency, the larger the negative effects on basic human rights. Interestingly, presidential democracies are better able to cope with natural disasters than parliamentary ones in terms of lives saved, whereas autocracies do significantly worse in the sense that empowerment rights seriously suffer in the aftermath of a disaster.","container-title":"Public Choice","DOI":"10.1007/s11127-021-00918-6","ISSN":"1573-7101","issue":"1","journalAbbreviation":"Public Choice","language":"en","license":"2021 The Author(s)","note":"Company: Springer\nDistributor: Springer\nInstitution: Springer\nLabel: Springer\nnumber: 1\npublisher: Springer US","page":"1-32","source":"link-springer-com.ezproxy.leidenuniv.nl","title":"Emergencies: on the misuse of government powers","title-short":"Emergencies","volume":"190","author":[{"family":"Bjørnskov","given":"Christian"},{"family":"Voigt","given":"Stefan"}],"issued":{"date-parts":[["2022",1,1]]}}}],"schema":"https://github.com/citation-style-language/schema/raw/master/csl-citation.json"}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(Bjørnskov &amp; Voigt,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Yet this very architecture shifts the basis of legitimacy from procedural inclusion to promised effectiveness. The temporal compression of crisis governance thus not only limits opportunities for democratic input but alters the criteria by which citizens judge the appropriateness of government action.</w:t>
      </w:r>
    </w:p>
    <w:p w14:paraId="7B9A3D2E"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 </w:t>
      </w:r>
      <w:r w:rsidRPr="00CF1465">
        <w:rPr>
          <w:rFonts w:ascii="Times New Roman" w:eastAsia="Times New Roman" w:hAnsi="Times New Roman" w:cs="Times New Roman"/>
          <w:lang w:val="en-GB" w:eastAsia="en-GB"/>
        </w:rPr>
        <w:tab/>
        <w:t xml:space="preserve">Second, crises amplify information asymmetries between governments and citizens. During the COVID-19 pandemic, for instance, governments made decisions with wide-ranging impacts on the basis of evolving scientific knowledge that was often contested, incomplete, or difficult for the public to evaluate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{"citationID":"U1WSVA7A","properties":{"formattedCitation":"(Kuhlmann et al., 2022)","plainCitation":"(Kuhlmann et al., 2022)","noteIndex":0},"citationItems":[{"id":5014,"uris":["http://zotero.org/users/10684127/items/7FI6PRCS"],"itemData":{"id":5014,"type":"article-journal","abstract":"COVID-19 has demonstrated the importance of data for scientific policy advice. Mechanisms by which data is generated, shared, and ultimately lead to policy responses are crucial for enhancing transparency and legitimacy of decisions. At the same time, the volume, complexity and volatility of data are growing. Against this background, mechanisms, actors, and problems of data-driven scientific policy advice are analysed. The study reveals role conflicts, ambiguities, and tensions in the interaction between scientific advisors and policy-makers. The assumption of a technocratic model, promoted by well-established structures and functioning processes of data-driven government, cannot be confirmed. Reality largely corresponds to the pragmatic model, in parts also the decisionist model, albeit with dysfunctional characteristics.","container-title":"Public Organization Review","DOI":"10.1007/s11115-022-00635-8","ISSN":"1573-7098","issue":"2","journalAbbreviation":"Public Organiz Rev","language":"en","page":"269-289","source":"Springer Link","title":"Technocratic Decision-Making in Times of Crisis? The Use of Data for Scientific Policy Advice in Germany’s COVID-19 Management","title-short":"Technocratic Decision-Making in Times of Crisis?","volume":"22","author":[{"family":"Kuhlmann","given":"Sabine"},{"family":"Franzke","given":"Jochen"},{"family":"Dumas","given":"Benoît Paul"}],"issued":{"date-parts":[["2022",6,1]]}}}],"schema":"https://github.com/citation-style-language/schema/raw/master/csl-citation.json"}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(Kuhlmann et al.,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When facing such complexity, governments increasingly rely on expert committees, scientific advisors and specialized agencies to interpret uncertain information and formulate policy responses. This technocratic turn may enhance decision quality and speed, but it further distances policy-making from democratic input and public understanding (</w:t>
      </w:r>
      <w:r w:rsidRPr="00CF1465">
        <w:rPr>
          <w:rFonts w:ascii="Times New Roman" w:eastAsia="Times New Roman" w:hAnsi="Times New Roman" w:cs="Times New Roman"/>
          <w:lang w:val="en-US" w:eastAsia="en-GB"/>
        </w:rPr>
        <w:t xml:space="preserve">Szöcsik, this volume). </w:t>
      </w:r>
      <w:r w:rsidRPr="00CF1465">
        <w:rPr>
          <w:rFonts w:ascii="Times New Roman" w:eastAsia="Times New Roman" w:hAnsi="Times New Roman" w:cs="Times New Roman"/>
          <w:lang w:val="en-GB" w:eastAsia="en-GB"/>
        </w:rPr>
        <w:t xml:space="preserve">Moreover, crises often become periods of heightened political secrecy, where withholding information is justified as necessary for effective crisis management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{"citationID":"i6a3t0KA","properties":{"formattedCitation":"(Kreuder-Sonnen, 2018)","plainCitation":"(Kreuder-Sonnen, 2018)","noteIndex":0},"citationItems":[{"id":1324,"uris":["http://zotero.org/users/10684127/items/PVLA6DGP"],"itemData":{"id":1324,"type":"article-journal","abstract":"This article theorises the relationship of crisis and political secrecy in European public policy. Combining the literatures on crisis management and securitisation, it introduces two distinct types of crisis-related secrecy. (1) Reactive secrecy denotes the deliberate concealment of information from the public with the aim of reducing immediate negative crisis consequences. It presents itself as a functional necessity of crisis management. (2) Active secrecy is about substantive or procedural secrecy employed by authority-holders to implement their interests with fewer restraints. Here, secrecy is an instrument of crisis exploitation, reducing obstacles to extraordinary measures. This distinction is based on an understanding of authority-holders as simultaneous legitimacy- and discretion-seekers whose secrecy politics depend on the constraints and opportunities presented by crises. In order to illustrate active and reactive secrecy, the article uses examples from the euro crisis (Eurogroup summitry, ECB sovereign bond purchases) and the security crisis after 9/11 (terror lists).","container-title":"West European Politics","DOI":"10.1080/01402382.2017.1404813","ISSN":"0140-2382","issue":"4","page":"958-980","source":"Taylor and Francis+NEJM","title":"Political secrecy in Europe: crisis management and crisis exploitation","title-short":"Political secrecy in Europe","volume":"41","author":[{"family":"Kreuder-Sonnen","given":"Christian"}],"issued":{"date-parts":[["2018",7,4]]}}}],"schema":"https://github.com/citation-style-language/schema/raw/master/csl-citation.json"}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(Kreuder-Sonnen, 2018)</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Whether to prevent panic, protect operational effectiveness, or maintain negotiating positions in the international arena, governments may view selective disclosure as a function requirement of crisis communication rather than a democratic deficit. Citizens must trust not only that authorities are acting in their interests, but also that the expert knowledge informing decisions provides a sound basis for policies that dramatically affect their lives. The legitimacy of crisis governance thus becomes intertwined with the credibility of expertise itself and is vulnerable when scientific consensus shifts or expert predictions prove wrong.</w:t>
      </w:r>
    </w:p>
    <w:p w14:paraId="6729F7BB"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Third, crises create extraordinary performance pressures. The greater visibility of government action during crises means that legitimacy becomes more closely tied to perceived effectiveness. Initially, these pressures may be temporarily alleviated by ‘rally round the flag’ effects, where increased short-term popular support of a country’s government or political leaders provides a ‘legitimacy buffer’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{"citationID":"VmNMMCZV","properties":{"formattedCitation":"(Kritzinger et al., 2021)","plainCitation":"(Kritzinger et al., 2021)","noteIndex":0},"citationItems":[{"id":5021,"uris":["http://zotero.org/users/10684127/items/IKYAZJBZ"],"itemData":{"id":5021,"type":"article-journal","abstract":"During international crises, trust in government is expected to increase irrespective of the wisdom of the policies it pursues. This has been called a ‘rally-round-the-flag’ effect. This article examines whether the COVID-19 crisis has resulted in such a rally effect. Using multi-wave panel surveys conducted in Austria and France starting from March 2020, in the article it is examined how government trust was affected by the perceived threats to the nation’s health and economy created by the pandemic as well as by the perceived appropriateness of the government’s crisis response. A strong rally effect is shown in Austria, where trust was closely tied to perceived health risks, but faded away quickly over time. Perceptions of government measures mattered, too, while perceived economic threat only played a minor role. In France, in contrast, a strong partisan divide is found and no rally effect. Supplemental data for this article can be accessed online at: https://doi.org/10.1080/01402382.2021.1925017 .","container-title":"West European Politics","DOI":"10.1080/01402382.2021.1925017","ISSN":"0140-2382","issue":"5-6","note":"publisher: Routledge\n_eprint: https://doi.org/10.1080/01402382.2021.1925017","page":"1205-1231","source":"Taylor and Francis+NEJM","title":"‘Rally round the flag’: the COVID-19 crisis and trust in the national government","title-short":"‘Rally round the flag’","volume":"44","author":[{"family":"Kritzinger","given":"Sylvia"},{"family":"","given":"Foucault ,Martial"},{"family":"","given":"Lachat ,Romain"},{"family":"","given":"Partheymüller ,Julia"},{"family":"","given":"Plescia ,Carolina"},{"family":"Brouard","given":"Sylvain","non-dropping-particle":"and"}],"issued":{"date-parts":[["2021",9,19]]}}}],"schema":"https://github.com/citation-style-language/schema/raw/master/csl-citation.json"}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(Kritzinger et al.,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As rally effects inevitably fade, governments face even more scrutiny that centres on how they actually perform in their crisis response. Media coverage amplifies these pressures by creating real-time comparisons of infection rates, death tolls, economic indicators and other metrics that become daily scorecards of government competence. The perceived performance of governments’ crisis responses directly shape citizens’ overall satisfaction with specific leaders involved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{"citationID":"WWGjIGoQ","properties":{"formattedCitation":"(Becher et al., 2024)","plainCitation":"(Becher et al., 2024)","noteIndex":0},"citationItems":[{"id":5024,"uris":["http://zotero.org/users/10684127/items/C3L37V3M"],"itemData":{"id":5024,"type":"article-journal","abstract":"Crises of the magnitude of the COVID-19 pandemic may plausibly affect deep-seated attitudes of a large fraction of citizens. In particular, outcome-oriented theories imply that leaders’ performance in response to such adverse events shapes people’s views about the government and about democracy. To assess these causal linkages empirically, we use a preregistered survey experiment covering 12 countries and 22,500 respondents during the pandemic. Our design enables us to leverage exogenous variation in evaluations of policies and leaders with an instrumental variables strategy. We find that people use information on both health and economic performance when evaluating the government. In turn, dissatisfaction with the government decreases satisfaction with how democracy works, but it does not increase support for nondemocratic alternatives. The results suggest that comparatively bad government performance mainly spurs internal critiques of democracy.","container-title":"The Journal of Politics","DOI":"10.1086/729962","ISSN":"0022-3816","issue":"4","note":"publisher: The University of Chicago Press","page":"1162-1176","source":"www-journals-uchicago-edu.ezproxy.leidenuniv.nl (Atypon)","title":"Government Performance and Democracy: Survey Experimental Evidence from 12 Countries during COVID-19","title-short":"Government Performance and Democracy","volume":"86","author":[{"family":"Becher","given":"Michael"},{"family":"Longuet-Marx","given":"Nicolas"},{"family":"Pons","given":"Vincent"},{"family":"Brouard","given":"Sylvain"},{"family":"Foucault","given":"Martial"},{"family":"Galasso","given":"Vincenzo"},{"family":"Kerrouche","given":"Eric"},{"family":"León Alfonso","given":"Sandra"},{"family":"Stegmueller","given":"Daniel"}],"issued":{"date-parts":[["2024",10]]}}}],"schema":"https://github.com/citation-style-language/schema/raw/master/csl-citation.json"}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(Becher et al., 2024)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and the electoral fortunes of incumbents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{"citationID":"SVpvu6Uo","properties":{"formattedCitation":"(Duch et al., 2025)","plainCitation":"(Duch et al., 2025)","noteIndex":0},"citationItems":[{"id":5026,"uris":["http://zotero.org/users/10684127/items/HYGQ6ADB"],"itemData":{"id":5026,"type":"article-journal","abstract":"The recent COVID-19 pandemic offers a rare opportunity to understand how citizens attribute responsibility for governments’ responses to unanticipated negative—and in this case, systemic—exogenous shocks. Classical accounts of responsibility are complicated when crises are pervasive, involve multiple valence dimensions, and where individuals can make relative assessments of performance. We fielded a conjoint experiment in 16 countries with 22,147 respondents. In this experiment, subjects made re-election decisions regarding 178,184 randomly assigned incumbent profiles. We find that incumbents’ performance along both health and economic dimensions drives these hypothetical reelection decisions. Using machine learning techniques, we find only muted heterogeneity in the magnitude and distribution of these treatment effects. This result suggests that these widely reported performance signals have consistent political effects across countries. In a complementary analysis, we also find that subjects’ intentions to vote for incumbent governments are positively correlated with subjective and relative evaluations of the government’s pandemic performance, along both health and economic dimensions. These results provide consistent evidence that evaluations of pandemic performance matter politically.","container-title":"Proceedings of the National Academy of Sciences","DOI":"10.1073/pnas.2405021122","issue":"4","note":"publisher: Proceedings of the National Academy of Sciences","page":"e2405021122","source":"www-pnas-org.ezproxy.leidenuniv.nl (Atypon)","title":"Governing in the face of a global crisis: When do voters punish and reward incumbent governments?","title-short":"Governing in the face of a global crisis","volume":"122","author":[{"family":"Duch","given":"Raymond M."},{"family":"Loewen","given":"Peter"},{"family":"Robinson","given":"Thomas S."},{"family":"Zakharov","given":"Alexei"}],"issued":{"date-parts":[["2025",1,28]]}}}],"schema":"https://github.com/citation-style-language/schema/raw/master/csl-citation.json"}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(Duch et al., 2025)</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Thus during crises, citizens effectively grant </w:t>
      </w:r>
      <w:r w:rsidRPr="00CF1465">
        <w:rPr>
          <w:rFonts w:ascii="Times New Roman" w:eastAsia="Times New Roman" w:hAnsi="Times New Roman" w:cs="Times New Roman"/>
          <w:lang w:val="en-GB" w:eastAsia="en-GB"/>
        </w:rPr>
        <w:lastRenderedPageBreak/>
        <w:t xml:space="preserve">governments a temporary mandate to act decisively, but this mandate is conditional on demonstrable results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{"citationID":"TGj3zhJS","properties":{"formattedCitation":"(Schmidt, 2022)","plainCitation":"(Schmidt, 2022)","noteIndex":0},"citationItems":[{"id":670,"uris":["http://zotero.org/users/10684127/items/X7PRCMGR"],"itemData":{"id":670,"type":"article-journal","abstract":"Emergency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(Schmidt,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Failed predictions, policy reversals, or visible incompetence can trigger legitimacy crises, as governments lose the output legitimacy that substitutes for reduced input legitimacy. The result is a high-stakes legitimacy dynamic where governments must continuously demonstrate effectiveness to maintain public acceptance of extraordinary measures that would normally require extensive democratic deliberation.</w:t>
      </w:r>
    </w:p>
    <w:p w14:paraId="5011C209"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Governments facing these challenges must construct alternative foundations for the public acceptance of their actions. With traditional input legitimacy constrained by temporal pressures, authorities increasingly rely on alternative legitimacy sources. Throughput legitimacy, involving transparency about decision-making processes, clear explanations of trade-offs and visible adherence to legal frameworks, becomes necessary for maintaining public acceptance when more inclusive decision-making is impossible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{"citationID":"Pobopiaj","properties":{"formattedCitation":"(Schmidt, 2013, 2022)","plainCitation":"(Schmidt, 2013, 2022)","noteIndex":0},"citationItems":[{"id":671,"uris":["http://zotero.org/users/10684127/items/7TMITMNZ"],"itemData":{"id":671,"type":"article-journal","abstract":"Scholars of the European Union have analyzed the EU's legitimacy mainly in terms of two normative criteria: output effectiveness for the people and input participation by the people. This article argues that missing from this theorization is what goes on in the ?black box? of governance between input and output, or ?throughput?. Throughput consists of governance processes with the people, analyzed in terms of their efficacy, accountability, transparency, inclusiveness and openness to interest consultation. This article defines and discusses this third normative criterion as well as the interaction effects of all three normative criteria. It does so by considering EU scholars' institutional and constructivist analyses of EU legitimacy as well as empirical cases of and proposed solutions to the EU's democracy problems. The article also suggests that unlike input and output, which affect public perceptions of legitimacy both when they are increased or decreased, throughput tends to be most salient when negative, because oppressive, incompetent, corrupt or biased practices throw not just throughput but also input and output into question.","container-title":"Political Studies","DOI":"10.1111/j.1467-9248.2012.00962.x","ISSN":"0032-3217","issue":"1","language":"en","page":"2-22","source":"SAGE Journals","title":"Democracy and Legitimacy in the European Union Revisited: Input, Output and ‘Throughput’","title-short":"Democracy and Legitimacy in the European Union Revisited","volume":"61","author":[{"family":"Schmidt","given":"Vivien"}],"issued":{"date-parts":[["2013",3,1]]}}},{"id":670,"uris":["http://zotero.org/users/10684127/items/X7PRCMGR"],"itemData":{"id":670,"type":"article-journal","abstract":"Emergency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(Schmidt, 2013,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Communication is particularly vital: governments must construct compelling narratives that make sense of complex events and justify emergency responses, actively shaping public understanding rather than merely transmitting information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{"citationID":"qMKQIhIU","properties":{"formattedCitation":"(\\uc0\\u8217{}t Hart, 1993)","plainCitation":"(’t Hart, 1993)","noteIndex":0},"citationItems":[{"id":1535,"uris":["http://zotero.org/users/10684127/items/DZ8N6BZJ"],"itemData":{"id":1535,"type":"article-journal","container-title":"Journal of Contingencies and Crisis Management","DOI":"10.1111/j.1468-5973.1993.tb00005.x","ISSN":"09660879","issue":"1","language":"en","page":"36-50","source":"DOI.org (Crossref)","title":"Symbols, Rituals and Power: The Lost Dimensions of Crisis Management","title-short":"Symbols, Rituals and Power","volume":"1","author":[{"family":"Hart","given":"Paul","non-dropping-particle":"'t"}],"issued":{"date-parts":[["1993",3]]}}}],"schema":"https://github.com/citation-style-language/schema/raw/master/csl-citation.json"}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(’t Hart, 1993)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Expert legitimacy offers governments another pathway, with scientific advisors and technical bodies lending credibility to decisions, though this creates vulnerabilities when expertise itself becomes contested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{"citationID":"xdVf7rCh","properties":{"formattedCitation":"(Aagaard et al., 2024; Kuhlmann et al., 2022; Neblo &amp; Wallace, 2021)","plainCitation":"(Aagaard et al., 2024; Kuhlmann et al., 2022; Neblo &amp; Wallace, 2021)","dontUpdate":true,"noteIndex":0},"citationItems":[{"id":5029,"uris":["http://zotero.org/users/10684127/items/UHQZAT5S"],"itemData":{"id":5029,"type":"article-journal","abstract":"Policy advisory systems, which provide evidence-informed policy advice to governments, are put under great pressure in times of crisis. Crisis situations may engender conflicting interpretations by stakeholders about how to respond. These conflicts are compounded by inevitable gaps in knowledge and uncertainties about how the crisis might develop. All governments face challenges beyond their control which can take many forms, ranging from financial and political disruptions through to health pandemics, natural disasters, and threats to national security. Such decision-making pressures were especially evident during the COVID-19 crisis and followed different trajectories in different countries. This introductory article frames a group of research studies that brings new insights into various aspects of how governmental policy advisory systems responded to this crisis. Policy advice was formulated against a backdrop of controversies about how to prioritise health outcomes, economic livelihoods and social interaction. These studies analyse policy advisory systems with particular attention to the quality of the available knowledge base, the disciplinary mix of expertise within advisory bodies, the roles of experts as either trusted insiders or as external commentators, as providers or ‘shapers’ of knowledge, and the degree of (in)formality in their relationships with politicians. These issues are also investigated in the context of creeping crises, such as climate change. Taken together, the special issue provides new insights into how knowledge provided through policy advisory systems informs crisis governance. In this way, it advances our knowledge of the relationship between experts in policy advisory systems and political decision-makers in times of crisis.","container-title":"Policy &amp; Politics","DOI":"10.1332/03055736Y2023D000000016","issue":"1","language":"en","note":"section: Policy &amp; Politics","page":"2–23","source":"bristoluniversitypressdigital.com","title":"Policy expertise in times of crisis","volume":"52","author":[{"family":"Aagaard","given":"Peter"},{"family":"Easton","given":"Marleen"},{"family":"Head","given":"Brian W."}],"issued":{"date-parts":[["2024",1,1]]}},"label":"page"},{"id":5014,"uris":["http://zotero.org/users/10684127/items/7FI6PRCS"],"itemData":{"id":5014,"type":"article-journal","abstract":"COVID-19 has demonstrated the importance of data for scientific policy advice. Mechanisms by which data is generated, shared, and ultimately lead to policy responses are crucial for enhancing transparency and legitimacy of decisions. At the same time, the volume, complexity and volatility of data are growing. Against this background, mechanisms, actors, and problems of data-driven scientific policy advice are analysed. The study reveals role conflicts, ambiguities, and tensions in the interaction between scientific advisors and policy-makers. The assumption of a technocratic model, promoted by well-established structures and functioning processes of data-driven government, cannot be confirmed. Reality largely corresponds to the pragmatic model, in parts also the decisionist model, albeit with dysfunctional characteristics.","container-title":"Public Organization Review","DOI":"10.1007/s11115-022-00635-8","ISSN":"1573-7098","issue":"2","journalAbbreviation":"Public Organiz Rev","language":"en","page":"269-289","source":"Springer Link","title":"Technocratic Decision-Making in Times of Crisis? The Use of Data for Scientific Policy Advice in Germany’s COVID-19 Management","title-short":"Technocratic Decision-Making in Times of Crisis?","volume":"22","author":[{"family":"Kuhlmann","given":"Sabine"},{"family":"Franzke","given":"Jochen"},{"family":"Dumas","given":"Benoît Paul"}],"issued":{"date-parts":[["2022",6,1]]}}},{"id":5028,"uris":["http://zotero.org/users/10684127/items/VXPSKIRW"],"itemData":{"id":5028,"type":"article-journal","abstract":"Governments rely more and more on experts to manage the increasingly complex problems posed by a growing, diversifying, globalizing world. Surplus technocracy, however, usually comes with deficits of democracy. While especially true in liberal regimes, authoritarian states often face parallel dynamics. Recent trends illustrate how technocratic encroachment on civil society’s prerogatives can provoke populist backlash. Such cycles can build toward crises by eroding the legitimacy citizens invest in regimes. Surprisingly, by throwing both the need for and limits of expertise into sharp relief, the politics of COVID-19 create a novel opportunity to disrupt these trends. We assess how this opportunity may be unfolding in two crucial cases, the United States and China, and, more briefly, South Korea. We conclude by sketching some theoretical considerations to guide a geographically expanded and temporally extended research agenda on this important opportunity to slow or reverse a trend plaguing modern governance.","container-title":"American Political Science Review","DOI":"10.1017/S0003055421000575","ISSN":"0003-0554, 1537-5943","issue":"4","language":"en","page":"1524-1529","source":"Cambridge University Press","title":"A Plague on Politics? The COVID Crisis, Expertise, and the Future of Legitimation","title-short":"A Plague on Politics?","volume":"115","author":[{"family":"Neblo","given":"Michael A."},{"family":"Wallace","given":"Jeremy L."}],"issued":{"date-parts":[["2021",11]]}}}],"schema":"https://github.com/citation-style-language/schema/raw/master/csl-citation.json"}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(Aagaard et al., 2024; Kuhlmann et al., 2022; Nello &amp; Wallace,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These alternative legitimacy sources do not fully replace input legitimacy but rather create a temporary legitimacy architecture adapted to crisis conditions.</w:t>
      </w:r>
    </w:p>
    <w:p w14:paraId="544DABD5"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ab/>
        <w:t xml:space="preserve">These challenges suggest that guaranteeing legitimacy is complex for crisis governance in general, but in transboundary crisis management, these challenges are combined with a set of additional trade-offs. When a crisis becomes transboundary in nature and spreads across different territories, governmental authorities in MLG systems have to deal with the territorially differentiated impact of a crisis, while they further have to navigate a system of dispersed authority across local, regional, national, and supranational levels. MLG thus not only multiplies the locations where legitimacy must be constructed and maintained but also creates new possibilities for conflicts that may strain legitimacy and undermine the coherence of </w:t>
      </w:r>
      <w:r w:rsidRPr="00CF1465">
        <w:rPr>
          <w:rFonts w:ascii="Times New Roman" w:eastAsia="Times New Roman" w:hAnsi="Times New Roman" w:cs="Times New Roman"/>
          <w:lang w:val="en-GB" w:eastAsia="en-GB"/>
        </w:rPr>
        <w:lastRenderedPageBreak/>
        <w:t>crisis response. The following section examines trade-offs that emerge when legitimate crisis governance must be achieved across multiple, interdependent levels of authority.</w:t>
      </w:r>
    </w:p>
    <w:p w14:paraId="42C5FF0B"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kern w:val="32"/>
          <w:szCs w:val="32"/>
          <w:lang w:val="en-US" w:eastAsia="en-GB"/>
        </w:rPr>
      </w:pPr>
      <w:r w:rsidRPr="00CF1465">
        <w:rPr>
          <w:rFonts w:ascii="Times New Roman" w:eastAsia="Times New Roman" w:hAnsi="Times New Roman" w:cs="Arial"/>
          <w:b/>
          <w:bCs/>
          <w:kern w:val="32"/>
          <w:szCs w:val="32"/>
          <w:lang w:val="en-US" w:eastAsia="en-GB"/>
        </w:rPr>
        <w:t>Legitimacy trade-offs in crisis governance in MLG systems</w:t>
      </w:r>
    </w:p>
    <w:p w14:paraId="40D61BB8" w14:textId="77777777" w:rsidR="00CC5602" w:rsidRPr="00CF1465" w:rsidRDefault="00CC5602" w:rsidP="00CC5602">
      <w:pPr>
        <w:spacing w:after="0" w:line="480" w:lineRule="auto"/>
        <w:rPr>
          <w:rFonts w:ascii="Times New Roman" w:eastAsia="Times New Roman" w:hAnsi="Times New Roman" w:cs="Times New Roman"/>
          <w:lang w:val="en-US" w:eastAsia="en-GB"/>
        </w:rPr>
      </w:pPr>
      <w:r w:rsidRPr="00CF1465">
        <w:rPr>
          <w:rFonts w:ascii="Times New Roman" w:eastAsia="Times New Roman" w:hAnsi="Times New Roman" w:cs="Times New Roman"/>
          <w:lang w:val="en-US" w:eastAsia="en-GB"/>
        </w:rPr>
        <w:t xml:space="preserve">Tradeoffs are almost inherent to crisis governance and they tend to challenge the legitimacy of crisis interventions. Tradeoffs could be understood as situations in which there is no ideal solution and each decision option presents governments with advantages and disadvantages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{"citationID":"A5Vt8yaY","properties":{"formattedCitation":"(Lenz, 2024)","plainCitation":"(Lenz, 2024)","noteIndex":0},"citationItems":[{"id":1386,"uris":["http://zotero.org/users/10684127/items/U7GWWS7Z"],"itemData":{"id":1386,"type":"article-journal","abstract":"In the midst of ongoing crises, understanding how citizens perceive administrative crisis management is more relevant than ever. Combining organizational literature with insights from legitimacy research, this article scrutinizes how the public evaluates governance decisions concerning prominent crisis management dilemmas: flexibility versus stability, inclusion versus exclusion, and equity-based versus needs-based resource distribution. The paper argues that flexible, inclusive, and equity-based governance decisions are generally perceived as more legitimate. However, governance decisions are also associated with adverse effects that can mitigate any initially positive effect on legitimacy. The argument is tested in a large-scale randomized survey experiment in the context of a migration crisis, where governance decisions were manipulated. The findings support the expectations for inclusive crisis management and equity-based resource distribution, which are perceived as the most legitimate governance alternatives. Internal adaptations of administrative practices toward more flexible and adaptive solutions, however, are perceived less legitimate than stable governmental action.","container-title":"Public Administration","DOI":"10.1111/padm.12980","ISSN":"1467-9299","language":"en","license":"© 2024 The Authors. Public Administration published by John Wiley &amp; Sons Ltd.","note":"_eprint: https://onlinelibrary.wiley.com/doi/pdf/10.1111/padm.12980","page":"1-21","source":"Wiley Online Library","title":"Managing crises as if no one is watching? Governance dilemmas from a public perspective","title-short":"Managing crises as if no one is watching?","volume":"Online first publication","author":[{"family":"Lenz","given":"Alexa"}],"issued":{"date-parts":[["2024"]]}}}],"schema":"https://github.com/citation-style-language/schema/raw/master/csl-citation.json"}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(Lenz, 2024)</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Some of these tradeoffs can be related to different policy objectives, as, for example, the dilemma that governments might face in crisis situations between prioritizing collective security and safety versus the protection of individual rights and liberties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{"citationID":"zX48ow0P","properties":{"formattedCitation":"(Amirkhanyan et al., 2023; Belle &amp; Cantarelli, 2022; Gearty, 2013)","plainCitation":"(Amirkhanyan et al., 2023; Belle &amp; Cantarelli, 2022; Gearty, 2013)","noteIndex":0},"citationItems":[{"id":1394,"uris":["http://zotero.org/users/10684127/items/DVBE3RZK"],"itemData":{"id":1394,"type":"article-journal","abstract":"During a global pandemic, individual views of government can be linked to citizens' trust and cooperation with government and their propensity to resist state policies or to take action that influences the course of a pandemic. This article explores citizens' assessments of government responses to COVID-19 as a function of policy substance (restrictions on civil liberties), information about performance, and socioeconomic inequity in outcomes. We conducted a survey experiment and analyzed data on over 7000 respondents from eight democratic countries. We find that across countries, citizens are less favorable toward COVID-19 policies that are more restrictive of civil liberties. Additionally, citizens' views of government performance are significantly influenced by objective performance information from reputable sources and</w:instrText>
      </w:r>
      <w:r w:rsidRPr="00CF1465">
        <w:rPr>
          <w:rFonts w:ascii="Times New Roman" w:eastAsia="Times New Roman" w:hAnsi="Times New Roman" w:cs="Times New Roman"/>
          <w:lang w:eastAsia="en-GB"/>
        </w:rPr>
        <w:instrText xml:space="preserve"> information on the disproportionate impacts of COVID-19 on low-income groups. This study reinforces the importance of policy design and outcomes and the consideration of multiple public values in the implementation of public policies.","container-title":"Public Administration Review","DOI":"10.1111/puar.13588","ISSN":"1540-6210","issue":"2","language":"en","license":"© 2022 The Authors. Public Administration Review published by Wiley Periodicals LLC on behalf of American Society for Public Administration.","note":"_eprint: https://onlinelibrary.wiley.com/doi/pdf/10.1111/puar.13588","page":"401-418","source":"Wiley Online Library","title":"Liberté, Égalité, Crédibilité: An experimental study of citizens' perceptions of government responses to COVID-19 in eight countries","title-short":"Liberté, Égalité, Crédibilité","volume":"83","author":[{"family":"Amirkhanyan","given":"Anna A."},{"family":"Meier","given":"Kenneth J."},{"family":"Song","given":"Miyeon"},{"family":"Roberts","given":"Fei W."},{"family":"Park","given":"Joohyung"},{"family":"Vogel","given":"Dominik"},{"family":"Bellé","given":"Nicola"},{"family":"Molina Jr.","given":"Angel Luis"},{"family":"Guul","given":"Thorbjørn Sejr"}],"issued":{"date-parts":[["2023"]]}}},{"id":1395,"uris":["http://zotero.org/users/10684127/items/H9NTIRI7"],"itemData":{"id":1395,"type":"article-journal","abstract":"We conducted a discrete-choice conjoint analysis on a sample of residents in Italy to explore trade-offs between human lives, individual freedoms, and the economy that governments and their citizens face while coping with a public health crisis. Our results indicate that people prefer to avoid income losses over reduction in the number of victims by the same percentage. The relative preference for saving income over saving lives widens as the size of losses at stake increases. The duration of restrictions to individual freedoms per se does not appear to have a sizable impact on people's preferences once income and human losses are accounted for. Our study contributes to scholarship on the value of a statistical life and sheds light on morally problematic trade-offs. Further, we illustrate how conjoint analysis through discrete choice modeling can address public administration and policy issues that are inherently multidimensional.","container-title":"Public Administration Review","DOI":"10.1111/puar.13429","ISSN":"1540-6210","issue":"1","language":"en","license":"© 2021 by The American Society for Public Administration","note":"_eprint: https://onlinelibrary.wiley.com/doi/pdf/10.1111/puar.13429","page":"59-68","source":"Wiley Online Library","title":"Your Money, Your Life, or Your Freedom? A Discrete-Choice Experiment on Trade-Offs During a Public Health Crisis","title-short":"Your Money, Your Life, or Your Freedom?","volume":"82","author":[{"family":"Belle","given":"Nicola"},{"family":"Cantarelli","given":"Paola"}],"issued":{"date-parts":[["2022"]]}}},{"id":1381,"uris":["http://zotero.org/users/10684127/items/QKKFC4TK"],"itemData":{"id":1381,"type":"book","abstract":"All aspire to liberty and security in their lives but few people truly enjoy them. This book explains why this is so. In what Conor Gearty calls our 'neo-democratic' world, the pr</w:instrText>
      </w:r>
      <w:r w:rsidRPr="00CF1465">
        <w:rPr>
          <w:rFonts w:ascii="Times New Roman" w:eastAsia="Times New Roman" w:hAnsi="Times New Roman" w:cs="Times New Roman"/>
          <w:lang w:val="en-US" w:eastAsia="en-GB"/>
        </w:rPr>
        <w:instrText xml:space="preserve">oclamation of universal liberty and security is mocked by facts on the ground: the vast inequalities in supposedly free societies, the authoritarian regimes with regular elections, and the terrible socio-economic deprivation camouflaged by cynically proclaimed commitments to human rights. Gearty's book offers an explanation of how this has come about, providing also a criticism of the present age which tolerates it. He then goes on to set out a manifesto for a better future, a place where liberty and security can be rich platforms for everyone's life.The book identifies neo-democracies as those places which play at democracy so as to disguise the injustice at their core. But it is not just the new 'democracies' that have turned 'neo', the so-called established democracies are also hurtling in the same direction, as is the United Nations. A new vision of universal freedom is urgently required. Drawing on scholarship in law, human rights and political science this book argues for just such a vision, one in which the great achievements of our democratic past are not jettisoned as easily as were the socialist ideals of the original democracy-makers.","ISBN":"978-0-7456-6998-4","language":"en","number-of-pages":"108","publisher":"John Wiley &amp; Sons","source":"Google Books","title":"Liberty and Security","author":[{"family":"Gearty","given":"Conor"}],"issued":{"date-parts":[["2013",4,3]]}}}],"schema":"https://github.com/citation-style-language/schema/raw/master/csl-citation.json"}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Amirkhanyan</w:t>
      </w:r>
      <w:proofErr w:type="spellEnd"/>
      <w:r w:rsidRPr="00CF1465">
        <w:rPr>
          <w:rFonts w:ascii="Times New Roman" w:eastAsia="Times New Roman" w:hAnsi="Times New Roman" w:cs="Times New Roman"/>
          <w:lang w:val="en-GB" w:eastAsia="en-GB"/>
        </w:rPr>
        <w:t xml:space="preserve"> et al., 2023; Belle &amp; </w:t>
      </w:r>
      <w:proofErr w:type="spellStart"/>
      <w:r w:rsidRPr="00CF1465">
        <w:rPr>
          <w:rFonts w:ascii="Times New Roman" w:eastAsia="Times New Roman" w:hAnsi="Times New Roman" w:cs="Times New Roman"/>
          <w:lang w:val="en-GB" w:eastAsia="en-GB"/>
        </w:rPr>
        <w:t>Cantarelli</w:t>
      </w:r>
      <w:proofErr w:type="spellEnd"/>
      <w:r w:rsidRPr="00CF1465">
        <w:rPr>
          <w:rFonts w:ascii="Times New Roman" w:eastAsia="Times New Roman" w:hAnsi="Times New Roman" w:cs="Times New Roman"/>
          <w:lang w:val="en-GB" w:eastAsia="en-GB"/>
        </w:rPr>
        <w:t>, 2022; Gearty, 2013)</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Tradeoffs can also be procedural in nature, whereby governments have to weigh the importance of swift and decisive action against democratic principles and procedures, such as inclusion, accountability, and transparency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{"citationID":"BfkhWjlO","properties":{"formattedCitation":"(Schmidt, 2022; Schmidt &amp; Wood, 2019)","plainCitation":"(Schmidt, 2022; Schmidt &amp; Wood, 2019)","noteIndex":0},"citationItems":[{"id":670,"uris":["http://zotero.org/users/10684127/items/X7PRCMGR"],"itemData":{"id":670,"type":"article-journal","abstract":"Emergency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w:instrText>
      </w:r>
      <w:r w:rsidRPr="00CF1465">
        <w:rPr>
          <w:rFonts w:ascii="Times New Roman" w:eastAsia="Times New Roman" w:hAnsi="Times New Roman" w:cs="Times New Roman"/>
          <w:lang w:eastAsia="en-GB"/>
        </w:rPr>
        <w:instrText>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legitimacy","volume":"29","author":[{"family":"Schmidt","given":"Vivien"}],"issued":{"date-parts":[["2022",6,3]]}}},{"id":669,"uris":["http://zotero.org/users/10684127/items/GZ4STATE"],"itemData":{"id":669,"type":"article-journal","abstract":"This symposium demonstrates the potential for throughput legitimacy as a concept for shedding empirical light on the strengths and weaknesses of multi-level gov</w:instrText>
      </w:r>
      <w:r w:rsidRPr="00CF1465">
        <w:rPr>
          <w:rFonts w:ascii="Times New Roman" w:eastAsia="Times New Roman" w:hAnsi="Times New Roman" w:cs="Times New Roman"/>
          <w:lang w:val="en-US" w:eastAsia="en-GB"/>
        </w:rPr>
        <w:instrText xml:space="preserve">ernance, as well as challenging the concept theoretically. This article introduces the symposium by conceptualizing throughput legitimacy as an ‘umbrella concept’, encompassing a constellation of normative criteria not necessarily empirically interrelated. It argues that in order to interrogate multi-level governance processes in all their complexity, it makes sense for us to develop normative standards that are not naïve about the empirical realities of how power is exercised within multi-level governance, or how it may interact with legitimacy. We argue that while throughput legitimacy has its normative limits, it can be substantively useful for these purposes. While being no replacement for input and output legitimacy, throughput legitimacy offers distinctive normative criteria—accountability, transparency, inclusiveness and openness—and points towards substantive institutional reforms.","container-title":"Public Administration","DOI":"10.1111/padm.12615","ISSN":"1467-9299","issue":"4","language":"en","page":"727-740","source":"Wiley Online Library","title":"Conceptualizing throughput legitimacy: Procedural mechanisms of accountability, transparency, inclusiveness and openness in EU governance","title-short":"Conceptualizing throughput legitimacy","volume":"97","author":[{"family":"Schmidt","given":"Vivien"},{"family":"Wood","given":"Matthew"}],"issued":{"date-parts":[["2019"]]}}}],"schema":"https://github.com/citation-style-language/schema/raw/master/csl-citation.json"}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(Schmidt, 2022; Schmidt &amp; Wood, 2019)</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w:t>
      </w:r>
    </w:p>
    <w:p w14:paraId="70F229B3" w14:textId="77777777" w:rsidR="00CC5602" w:rsidRPr="00CF1465" w:rsidRDefault="00CC5602" w:rsidP="00CC5602">
      <w:pPr>
        <w:spacing w:after="0" w:line="480" w:lineRule="auto"/>
        <w:rPr>
          <w:rFonts w:ascii="Times New Roman" w:eastAsia="Times New Roman" w:hAnsi="Times New Roman" w:cs="Times New Roman"/>
          <w:lang w:val="en-US" w:eastAsia="en-GB"/>
        </w:rPr>
      </w:pPr>
      <w:r w:rsidRPr="00CF1465">
        <w:rPr>
          <w:rFonts w:ascii="Times New Roman" w:eastAsia="Times New Roman" w:hAnsi="Times New Roman" w:cs="Times New Roman"/>
          <w:lang w:val="en-US" w:eastAsia="en-GB"/>
        </w:rPr>
        <w:tab/>
        <w:t xml:space="preserve">In MLG systems, transboundary crises expose political authorities to an additional set of dilemmas and challenges. A first challenge relates to crisis management </w:t>
      </w:r>
      <w:r w:rsidRPr="00CF1465">
        <w:rPr>
          <w:rFonts w:ascii="Times New Roman" w:eastAsia="Times New Roman" w:hAnsi="Times New Roman" w:cs="Times New Roman"/>
          <w:i/>
          <w:iCs/>
          <w:lang w:val="en-US" w:eastAsia="en-GB"/>
        </w:rPr>
        <w:t xml:space="preserve">policies </w:t>
      </w:r>
      <w:r w:rsidRPr="00CF1465">
        <w:rPr>
          <w:rFonts w:ascii="Times New Roman" w:eastAsia="Times New Roman" w:hAnsi="Times New Roman" w:cs="Times New Roman"/>
          <w:lang w:val="en-US" w:eastAsia="en-GB"/>
        </w:rPr>
        <w:t xml:space="preserve">that political authorities aim to implement in response to a transboundary crisis, which becomes particularly evident when a crisis has a differentiated impact for the different territories where a crisis emerges. This often creates a trade-off for political authorities between uniformity and diversity of crisis interventions. In MLG systems, this </w:t>
      </w:r>
      <w:r w:rsidRPr="00CF1465">
        <w:rPr>
          <w:rFonts w:ascii="Times New Roman" w:eastAsia="Times New Roman" w:hAnsi="Times New Roman" w:cs="Times New Roman"/>
          <w:i/>
          <w:iCs/>
          <w:lang w:val="en-US" w:eastAsia="en-GB"/>
        </w:rPr>
        <w:t>policy trade-off</w:t>
      </w:r>
      <w:r w:rsidRPr="00CF1465">
        <w:rPr>
          <w:rFonts w:ascii="Times New Roman" w:eastAsia="Times New Roman" w:hAnsi="Times New Roman" w:cs="Times New Roman"/>
          <w:lang w:val="en-US" w:eastAsia="en-GB"/>
        </w:rPr>
        <w:t xml:space="preserve"> is often amplified by a </w:t>
      </w:r>
      <w:r w:rsidRPr="00CF1465">
        <w:rPr>
          <w:rFonts w:ascii="Times New Roman" w:eastAsia="Times New Roman" w:hAnsi="Times New Roman" w:cs="Times New Roman"/>
          <w:i/>
          <w:iCs/>
          <w:lang w:val="en-US" w:eastAsia="en-GB"/>
        </w:rPr>
        <w:t>political trade-off</w:t>
      </w:r>
      <w:r w:rsidRPr="00CF1465">
        <w:rPr>
          <w:rFonts w:ascii="Times New Roman" w:eastAsia="Times New Roman" w:hAnsi="Times New Roman" w:cs="Times New Roman"/>
          <w:lang w:val="en-US" w:eastAsia="en-GB"/>
        </w:rPr>
        <w:t xml:space="preserve"> which concerns the allocation of crisis management responsibilities across different governmental actors, potentially at different levels of government. As a consequence, a political trade-off often emerges between centralization and decentralization. Whereas the policy trade-off reflects a spatial challenge (i.e how to deal with territorial differences in the consequences of a transboundary crisis?), the political trade-off is an institutional challenge (i.e. which level of authority should be responsible for which aspects of a transboundary crisis response?) Both trade-offs can hold relevant implications for the legitimacy of crisis governance.</w:t>
      </w:r>
      <w:r w:rsidRPr="00CF1465">
        <w:rPr>
          <w:rFonts w:ascii="Times New Roman" w:eastAsia="Times New Roman" w:hAnsi="Times New Roman" w:cs="Times New Roman"/>
          <w:lang w:val="en-US" w:eastAsia="en-GB"/>
        </w:rPr>
        <w:tab/>
      </w:r>
    </w:p>
    <w:p w14:paraId="1536994A" w14:textId="77777777" w:rsidR="00CC5602" w:rsidRPr="00CF1465" w:rsidRDefault="00CC5602" w:rsidP="00CC5602">
      <w:pPr>
        <w:spacing w:after="0" w:line="480" w:lineRule="auto"/>
        <w:rPr>
          <w:rFonts w:ascii="Times New Roman" w:eastAsia="Times New Roman" w:hAnsi="Times New Roman" w:cs="Times New Roman"/>
          <w:lang w:val="en-US" w:eastAsia="en-GB"/>
        </w:rPr>
      </w:pPr>
      <w:r w:rsidRPr="00CF1465">
        <w:rPr>
          <w:rFonts w:ascii="Times New Roman" w:eastAsia="Times New Roman" w:hAnsi="Times New Roman" w:cs="Times New Roman"/>
          <w:lang w:val="en-US" w:eastAsia="en-GB"/>
        </w:rPr>
        <w:lastRenderedPageBreak/>
        <w:tab/>
        <w:t xml:space="preserve"> First, a policy trade-off emerges when political authorities need to decide on the spatial scope and focus of their crisis interventions. This is particularly challenges for transboundary crises, such as epidemic outbreaks, where the consequences of a crisis can be unevenly distributed for different areas. Also during the Covid-19 pandemic, there were clear differences in the intensity of the impact of the crisis across regions, both in epidemiological and economic terms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{"citationID":"sgKNK70Q","properties":{"formattedCitation":"(Bailey et al., 2021)","plainCitation":"(Bailey et al., 2021)","noteIndex":0},"citationItems":[{"id":5080,"uris":["http://zotero.org/users/10684127/items/AAL8MSHE"],"itemData":{"id":5080,"type":"article-journal","container-title":"Regional Studies","DOI":"10.1080/00343404.2021.2003768","ISSN":"0034-3404, 1360-0591","issue":"12","journalAbbreviation":"Regional Studies","language":"en","page":"1955-1965","source":"DOI.org (Crossref)","title":"Regions in Covid-19 recovery","volume":"55","author":[{"family":"Bailey","given":"David"},{"family":"Crescenzi","given":"Riccardo"},{"family":"Roller","given":"Elisa"},{"family":"Anguelovski","given":"Isabelle"},{"family":"Datta","given":"Ayona"},{"family":"Harrison","given":"John"}],"issued":{"date-parts":[["2021",12,2]]}}}],"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(Bailey et al., 2021)</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Particularly as a crisis evolves, and also starts to manifest itself in different policy fields, its impact might become even more unequally distributed. As Schakel and Verdoes have shown (Chapter 1), both national and regional tiers of government have implemented crisis interventions with territorial differentiation, particularly at moments in time when the crisis was severe. Such a territorially differentiated approach might be beneficial because it enables tailoring responses to regional crisis conditions or region-specific needs and interests. This is often suggested as one of the advantages of federal and decentralized political systems, because federalism provides incentives for such territorial differentiation enhancing the regional flexibility of public policy-making, for example by creating more context-sensitive and responses aligned with region-specific needs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{"citationID":"HvUgL1Cc","properties":{"formattedCitation":"(Kuhlmann &amp; Franzke, 2022; Migone, 2020)","plainCitation":"(Kuhlmann &amp; Franzke, 2022; Migone, 2020)","noteIndex":0},"citationItems":[{"id":640,"uris":["http://zotero.org/users/10684127/items/FNHAGVM9"],"itemData":{"id":640,"type":"article-journal","abstract":"This article is aimed at analysing local and intergovernmental responses to the COVID-19 pandemic in Germany during the ‘first wave’ of the pandemic. It will answer the question of how the intergovernmental system in Germany responded to the crisis and to what extent the pandemic has changed patterns of multi-level governance (MLG). The article argues that the coordination of pandemic management in Germany shifted between two ideal types of multi-level governance. While in the first phase of the pandemic the territorially defined multi-level system with the sub-national and local authorities as key actors of crisis management was predominant, in the second phase a more functional orientation with increased vertical coordination gained in importance. Later on, more reliance was given again on local decision-</w:instrText>
      </w:r>
      <w:r w:rsidRPr="00CF1465">
        <w:rPr>
          <w:rFonts w:ascii="Times New Roman" w:eastAsia="Times New Roman" w:hAnsi="Times New Roman" w:cs="Times New Roman"/>
          <w:lang w:eastAsia="en-GB"/>
        </w:rPr>
        <w:instrText>making. Based on this analysis, we will draw some preliminary conclusions on how effective MLG in Germany has been for coordinating pandemic management and point out the shortcomings.","container-title":"Local Government Studies","DOI":"10.1080/03003930.2021.1904398","ISSN":"0300-3930","issue":"2","note":"publisher: Routledge\n_eprint: https://doi.org/10.1080/03003930.2021.1904398","page":"312-334","source":"Taylor and Francis+NEJM","title":"Multi-level responses to COVID-19: crisis coordination in Germany from an intergovernmental perspective","title-short":"Multi-level responses to COVID-19","volume":"48","author":[{"family":"Kuhlmann","gi</w:instrText>
      </w:r>
      <w:r w:rsidRPr="00CF1465">
        <w:rPr>
          <w:rFonts w:ascii="Times New Roman" w:eastAsia="Times New Roman" w:hAnsi="Times New Roman" w:cs="Times New Roman"/>
          <w:lang w:val="en-US" w:eastAsia="en-GB"/>
        </w:rPr>
        <w:instrText xml:space="preserve">ven":"Sabine"},{"family":"Franzke","given":"Jochen"}],"issued":{"date-parts":[["2022",3,4]]}}},{"id":641,"uris":["http://zotero.org/users/10684127/items/K7VEPKLJ"],"itemData":{"id":641,"type":"article-journal","abstract":"This article explores how Canadian federalism, with its complex mix of competencies, and the country’s punctuated gradualism policy style interface with urgent, complex decision-making like the COVID-19 pandemic. We find that while punctuated gradualism favors tailored responses to pandemic management it is weaker when coordination and resourcing are to be undertaken during non-crisis situations and that, while the level of cooperation among Canadian jurisdictions has progressively increased over the years, policy is still almost exclusively handled at the federal, provincial and territorial levels. Furthermore, the model appears to have critical ‘blind spots’ in terms of vulnerable communities that do not emerge as such until after a crisis hits.","container-title":"Policy and Society","DOI":"10.1080/14494035.2020.1783788","ISSN":"1449-4035","issue":"3","journalAbbreviation":"Policy and Society","page":"382-402","source":"Silverchair","title":"Trust, but customize: federalism’s impact on the Canadian COVID-19 response","title-short":"Trust, but customize","volume":"39","author":[{"family":"Migone","given":"Andrea Riccardo"}],"issued":{"date-parts":[["2020",9,1]]}}}],"schema":"https://github.com/citation-style-language/schema/raw/master/csl-citation.json"}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 xml:space="preserve">(Kuhlmann &amp; Franzke, 2022; </w:t>
      </w:r>
      <w:proofErr w:type="spellStart"/>
      <w:r w:rsidRPr="00CF1465">
        <w:rPr>
          <w:rFonts w:ascii="Times New Roman" w:eastAsia="Times New Roman" w:hAnsi="Times New Roman" w:cs="Times New Roman"/>
          <w:lang w:val="en-GB" w:eastAsia="en-GB"/>
        </w:rPr>
        <w:t>Migone</w:t>
      </w:r>
      <w:proofErr w:type="spellEnd"/>
      <w:r w:rsidRPr="00CF1465">
        <w:rPr>
          <w:rFonts w:ascii="Times New Roman" w:eastAsia="Times New Roman" w:hAnsi="Times New Roman" w:cs="Times New Roman"/>
          <w:lang w:val="en-GB" w:eastAsia="en-GB"/>
        </w:rPr>
        <w:t>, 2020)</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w:t>
      </w:r>
    </w:p>
    <w:p w14:paraId="6AA356AA"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However, differentiation comes at the cost of uniformity which can ultimately lead to reduced perceptions of fairness, transparency, and coherence. When neighbouring jurisdictions pursue markedly different strategies, for example, with regards to lockdowns or vaccination mandates, citizens may question the rationale and equity of policies in their own area, particularly if outcomes differ strongly. For example, Comfort et al.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{"citationID":"58rFXcGh","properties":{"formattedCitation":"(2020)","plainCitation":"(2020)","noteIndex":0},"citationItems":[{"id":5032,"uris":["http://zotero.org/users/10684127/items/8LB7ZYQC"],"itemData":{"id":5032,"type":"article-journal","abstract":"This essay examines basic functions of crisis decision‐making—cognition, communication, coordination, and control—in response to COVID‐19. This crisis decision‐making framework is applied to cases from South Korea, Italy, and the United States as public officials grapple with how to recognize, respond, and recover from this deadly, invisible threat. The authors acknowledge the harsh trade‐off between the compelling need to limit transmission of the virus to protect public health and the consequent economic losses of halting social interaction. They draw implications from this crisis for better decision‐making and investment in a global information infrastructure system to manage large‐scale, multidisciplinary threats to the health, economy, and sustainability of the world's community of nations. The essay concludes that collective cognition, amplified by timely, valid communication and supported by sound planning, trained personnel, appropriate technology, and bold leadership, enables coordinated action needed to bring a large‐scale global crisis under control.","container-title":"Public Administration Review","DOI":"10.1111/puar.13252","ISSN":"0033-3352","issue":"4","journalAbbreviation":"Public Adm Rev","note":"PMID: 32836462\nPMCID: PMC7300963","page":"616-622","source":"PubMed Central","title":"Crisis Decision‐Making on a Global Scale: Transition from Cognition to Collective Action under Threat of COVID‐19","title-short":"Crisis Decision‐Making on a Global Scale","volume":"80","author":[{"family":"Comfort","given":"Louise K."},{"family":"Kapucu","given":"Naim"},{"family":"Ko","given":"Kilkon"},{"family":"Menoni","given":"Scira"},{"family":"Siciliano","given":"Michael"}],"issued":{"date-parts":[["2020"]]}},"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(2020)</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suggests that extreme differences in state responses to the Covid-19 pandemic in the United States triggered confusion and frustration among citizens. This risks triggering what Schakel and Smith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{"citationID":"JQUCfXLa","properties":{"formattedCitation":"(2022)","plainCitation":"(2022)","noteIndex":0},"citationItems":[{"id":708,"uris":["http://zotero.org/users/10684127/items/5SWKCEVC"],"itemData":{"id":708,"type":"article-journal","abstract":"Recent survey research has revealed a ‘devolution paradox’: some citizens who favour stronger regional governments inconsistently desire policy uniformity across regions and state-wide intervention in policy provision. It is argued and empirically shown that preferences for regional authority can be broken down into preferences for self-rule – that is, for autonomy for the region – and for shared rule – that is, for collaboration between regional and national governments. Drawing upon the International Constitutional Values Survey, which includes 4,930 respondents from 142 regions in eight countries, it is also shown that preferences for self-rule and shared rule have different impacts. Preferences for self-rule translate into a preference for regional reform that strengthens regional autonomy, whereas preferences for shared rule drive preferences for fiscal transfers from richer to poorer regions. These results are important because they can explain why citizens who are in favour of more regional authority may support an apparently ‘paradoxical’ set of policy outcomes.","container-title":"European Journal of Political Research","DOI":"10.1111/1475-6765.12466","ISSN":"1475-6765","issue":"3","language":"en","note":"_eprint: https://onlinelibrary.wiley.com/doi/pdf/10.1111/1475-6765.12466","page":"642-659","source":"Wiley Online Library","title":"Unravelling the ‘devolution paradox’: Citizen preferences for self-rule and for shared rule","title-short":"Unravelling the ‘devolution paradox’","volume":"61","author":[{"family":"Schakel","given":"Arjan H."},{"family":"Smith","given":"Rodney"}],"issued":{"date-parts":[["2022"]]}},"label":"page","suppress-author":true}],"schema":"https://github.com/citation-style-language/schema/raw/master/csl-citation.json"}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describe as a “devolution paradox”, whereby local autonomy is widely supported, but legitimacy perceptions decrease when citizens experience fragmented or inconsistent public policy-making. </w:t>
      </w:r>
    </w:p>
    <w:p w14:paraId="1740AD19" w14:textId="77777777" w:rsidR="00CC5602" w:rsidRPr="00CF1465" w:rsidRDefault="00CC5602" w:rsidP="00CC5602">
      <w:pPr>
        <w:spacing w:after="0" w:line="480" w:lineRule="auto"/>
        <w:ind w:firstLine="720"/>
        <w:rPr>
          <w:rFonts w:ascii="Times New Roman" w:eastAsia="Times New Roman" w:hAnsi="Times New Roman" w:cs="Times New Roman"/>
          <w:bCs/>
          <w:lang w:val="en-GB" w:eastAsia="en-GB"/>
        </w:rPr>
      </w:pPr>
      <w:r w:rsidRPr="00CF1465">
        <w:rPr>
          <w:rFonts w:ascii="Times New Roman" w:eastAsia="Times New Roman" w:hAnsi="Times New Roman" w:cs="Times New Roman"/>
          <w:lang w:val="en-GB" w:eastAsia="en-GB"/>
        </w:rPr>
        <w:t xml:space="preserve">Conversely, efforts to impose uniform standards across regions may provoke backlash if they are viewed as ignoring local realities or undermining democratic self-rule (cf. Schakel &amp; </w:t>
      </w:r>
      <w:proofErr w:type="spellStart"/>
      <w:r w:rsidRPr="00CF1465">
        <w:rPr>
          <w:rFonts w:ascii="Times New Roman" w:eastAsia="Times New Roman" w:hAnsi="Times New Roman" w:cs="Times New Roman"/>
          <w:lang w:val="en-GB" w:eastAsia="en-GB"/>
        </w:rPr>
        <w:t>Verdoes</w:t>
      </w:r>
      <w:proofErr w:type="spellEnd"/>
      <w:r w:rsidRPr="00CF1465">
        <w:rPr>
          <w:rFonts w:ascii="Times New Roman" w:eastAsia="Times New Roman" w:hAnsi="Times New Roman" w:cs="Times New Roman"/>
          <w:lang w:val="en-GB" w:eastAsia="en-GB"/>
        </w:rPr>
        <w:t xml:space="preserve">, this volume). Thus, policy trade-offs in transboundary crises reflect an important dilemma in multi-level crisis </w:t>
      </w:r>
      <w:r w:rsidRPr="00CF1465">
        <w:rPr>
          <w:rFonts w:ascii="Times New Roman" w:eastAsia="Times New Roman" w:hAnsi="Times New Roman" w:cs="Times New Roman"/>
          <w:lang w:val="en-GB" w:eastAsia="en-GB"/>
        </w:rPr>
        <w:lastRenderedPageBreak/>
        <w:t>management between, on the one hand, legitimacy that arises from uniformity and equal treatment, and, on the other hand, legitimacy rooted in tailoring policies to local needs through territorially differentiated responses.</w:t>
      </w:r>
    </w:p>
    <w:p w14:paraId="273D5CCB"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In MLG systems, policy trade-offs, as discussed above, are often combined with </w:t>
      </w:r>
      <w:r w:rsidRPr="00CF1465">
        <w:rPr>
          <w:rFonts w:ascii="Times New Roman" w:eastAsia="Times New Roman" w:hAnsi="Times New Roman" w:cs="Times New Roman"/>
          <w:i/>
          <w:iCs/>
          <w:lang w:val="en-US" w:eastAsia="en-GB"/>
        </w:rPr>
        <w:t>political trade-offs</w:t>
      </w:r>
      <w:r w:rsidRPr="00CF1465">
        <w:rPr>
          <w:rFonts w:ascii="Times New Roman" w:eastAsia="Times New Roman" w:hAnsi="Times New Roman" w:cs="Times New Roman"/>
          <w:lang w:val="en-US" w:eastAsia="en-GB"/>
        </w:rPr>
        <w:t xml:space="preserve"> emerging from interactions between different levels of government—local, regional, national, and supranational—and revolve around questions of authority and competences. When a crisis develops over time and travels across political and geographical boundaries, higher tiers of governments sooner or later become involved in the crisis response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{"citationID":"8hBvCMce","properties":{"formattedCitation":"(Boin et al., 2021; \\uc0\\u8217{}t Hart et al., 1993)","plainCitation":"(Boin et al., 2021; ’t Hart et al., 1993)","noteIndex":0},"citationItems":[{"id":"p8bpfMTc/bNgG2nGH","uris":["http://zotero.org/users/5191464/items/YE7MH4JM"],"itemData":{"id":"bbSpal7a/HApfE0kL","type":"book","event-place":"Cham","ISBN":"978-3-030-72679-9","language":"en","note":"DOI: 10.1007/978-3-030-72680-5","publisher":"Springer International Publishing","publisher-place":"Cham","source":"DOI.org (Crossref)","title":"Governing the Pandemic: The Politics of Navigating a Mega-Crisis","title-short":"Governing the Pandemic","URL":"https://link.springer.com/10.1007/978-3-030-72680-5","author":[{"family":"Boin","given":"Arjen"},{"family":"McConnell","given":"Allan"},{"family":"Hart","given":"Paul","non-dropping-particle":"'t"}],"accessed":{"date-parts":[["2022",10,18]]},"issued":{"date-parts":[["2021"]]}}},{"id":718,"uris":["http://zotero.org/users/10684127/items/6X59PGRN"],"itemData":{"id":718,"type":"article-journal","abstract":"This essay reconsiders the well-known thesis that, under conditions of crisis, administrative decision making becomes centralized. It discusses the theoretical and administrative underpinnings of this thesis and focuses on the role of small groups in crisis decision making, central government intervention in crisis situations, and crisis government doctrines. Using findings from recent comparative case research in crisis management, alternative patterns of governmental response to crises are outlined. These include formal and informal decentralization, non-decision making, and paralysis. This article concludes with a set of hypotheses that outline the conditions for the emergence of alternative structural patterns in coping with crises and a call for more contingent and reflective thinking about crisis management issues.","container-title":"Administration &amp; Society","DOI":"10.1177/009539979302500102","ISSN":"0095-3997","issue":"1","note":"publisher: SAGE Publications Inc","page":"12-45","source":"SAGE Journals","title":"Crisis Decision Making: The Centralization Thesis Revisited","title-short":"Crisis Decision Making","volume":"25","author":[{"family":"Hart","given":"Paul","non-dropping-particle":"'t"},{"family":"Rosenthal","given":"Uriel"},{"family":"Kouzmin","given":"Alexander"}],"issued":{"date-parts":[["1993",5,1]]}}}],"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(Boin et al., 2021; ’t Hart et al., 1993)</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In the crisis management literature, a widely shared assumption reflects that crises create centralizing pressures, triggering a shift towards more centralized decision making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{"citationID":"mqiO42Ih","properties":{"formattedCitation":"(Raudla et al., 2015)","plainCitation":"(Raudla et al., 2015)","noteIndex":0},"citationItems":[{"id":5034,"uris":["http://zotero.org/users/10684127/items/ZKCFT8DS"],"itemData":{"id":5034,"type":"article-journal","abstract":"The Great Recession resulted in fiscal crises for governments across the Western world. Significant cuts in government programs were initiated as many governments scrambled to reduce their growing budget deficits. This article explores how European governments reacted during the recent crisis. In particular, the authors focus on the interlinkages between shifts toward more centralized decision making. The article uses a survey of thousands of public sector executives in 17 European countries. The authors find evidence of a centralization cascade, such that centralizing one element of the decision-making process leads to greater centralization throughout the system. Results also show that having a high number of organizational goals and facing clear sanctions for failing to achieve goals lead to greater centralization, but greater organizational commitment reduces the need to centralize.","container-title":"Public Administration Review","DOI":"10.1111/puar.12381","ISSN":"1540-6210","issue":"6","language":"en","license":"© 2015 by The American Society for Public Administration","note":"_eprint: https://onlinelibrary.wiley.com/doi/pdf/10.1111/puar.12381","page":"842-852","source":"Wiley Online Library","title":"The Impact of Fiscal Crisis on Decision-Making Processes in European Governments: Dynamics of a Centralization Cascade","title-short":"The Impact of Fiscal Crisis on Decision-Making Processes in European Governments","volume":"75","author":[{"family":"Raudla","given":"Ringa"},{"family":"Douglas","given":"James W."},{"family":"Randma-Liiv","given":"Tiina"},{"family":"Savi","given":"Riin"}],"issued":{"date-parts":[["2015"]]}}}],"schema":"https://github.com/citation-style-language/schema/raw/master/csl-citation.json"}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Raudla</w:t>
      </w:r>
      <w:proofErr w:type="spellEnd"/>
      <w:r w:rsidRPr="00CF1465">
        <w:rPr>
          <w:rFonts w:ascii="Times New Roman" w:eastAsia="Times New Roman" w:hAnsi="Times New Roman" w:cs="Times New Roman"/>
          <w:lang w:val="en-GB" w:eastAsia="en-GB"/>
        </w:rPr>
        <w:t xml:space="preserve"> et al., 2015)</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w:t>
      </w:r>
      <w:r w:rsidRPr="00CF1465">
        <w:rPr>
          <w:rFonts w:ascii="Times New Roman" w:eastAsia="Times New Roman" w:hAnsi="Times New Roman" w:cs="Times New Roman"/>
          <w:lang w:val="en-GB" w:eastAsia="en-GB"/>
        </w:rPr>
        <w:t xml:space="preserve">This centralization may be justified by the need to act quickly and uniformly, especially when dealing with transboundary threats. For example, Toshkov et al.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{"citationID":"jXP630Rf","properties":{"formattedCitation":"(2022)","plainCitation":"(2022)","noteIndex":0},"citationItems":[{"id":659,"uris":["http://zotero.org/users/10684127/items/JNIPRLGB"],"itemData":{"id":659,"type":"article-journal","abstract":"European states responded to the rapid spread of the COVID-19 pandemic in 2020 with a variety of public policy measures. In this article we ask what can account for this variation in policy responses, and we identify a number of factors related to institutions, general governance and specific health-sector related capacities, societal trust, government type, and party preferences as possible determinants. Using multivariate regression and survival analysis, we model the speed with which school closures and national lockdowns were imposed. The models suggest a number of significant and often counterintuitive relationships: more centralized countries with lower government effectiveness, freedom and societal trust, but with separate ministries of health and health ministers with medical background acted faster and more decisively. High perceived capacity might have provided false confidence to the governments, resulting in a delayed response to the early stages of the pandemic. Furthermore, more right-wing and authoritarian governments responded faster.","container-title":"Journal of European Public Policy","DOI":"10.1080/13501763.2021.1928270","ISSN":"1350-1763","issue":"7","note":"publisher: Routledge\n_eprint: https://doi.org/10.1080/13501763.2021.1928270","page":"1009-1028","source":"Taylor and Francis+NEJM","title":"Government capacity, societal trust or party preferences: what accounts for the variety of national policy responses to the COVID-19 pandemic in Europe?","title-short":"Government capacity, societal trust or party preferences","volume":"29","author":[{"family":"Toshkov","given":"Dimiter"},{"family":"Carroll","given":"Brendan"},{"family":"Yesilkagit","given":"Kutsal"}],"issued":{"date-parts":[["2022",7,3]]}},"label":"page","suppress-author":true}],"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find that centralized states were often faster with their initial policy responses to the Covid-19 pandemic compared to their federal and decentralized counterparts. </w:t>
      </w:r>
      <w:r w:rsidRPr="00CF1465">
        <w:rPr>
          <w:rFonts w:ascii="Times New Roman" w:eastAsia="Times New Roman" w:hAnsi="Times New Roman" w:cs="Times New Roman"/>
          <w:lang w:val="en-US" w:eastAsia="en-GB"/>
        </w:rPr>
        <w:t xml:space="preserve">In contrast, decentralization is often associated with policy delays and/or fragmented and inconsistent crisis responses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{"citationID":"wQKQXHnu","properties":{"formattedCitation":"(Jugl, 2023, p. 202)","plainCitation":"(Jugl, 2023, p. 202)","noteIndex":0},"citationItems":[{"id":1444,"uris":["http://zotero.org/users/10684127/items/2KWFM58J"],"itemData":{"id":1444,"type":"article-journal","abstract":"In a crisis, fast reaction is key. But what can public administration tell us about this? This study develops a theoretical framework explaining how administrative characteristics, including fragmentation, capacities, legacies and learning, affect governments' response timing. The COVID-19 pandemic is exploited as a unique empirical setting to test this framework and its scope conditions. Region fixed-effects models and survival analysis of partly hand collected data for more than 150 national governments confirm some limited predictive power of administrative structures and traditions: Especially in developing countries, governments with a separate ministry of health adopted binding containment measures faster. Countries with hierarchical administrative traditions, for example, socialist, adopted some interventions like school closures faster than more liberal traditions, for example, Anglo-American. These characteristics increase threat perception and availability of a response, respectively. Results also suggest that intracrisis and intercrisis learning supply governments with response options. The study advances comparative public administration and crisis research.","container-title":"Public Administration","DOI":"10.1111/padm.12889","ISSN":"1467-9299","issue":"4","language":"en","license":"© 2022 John Wiley &amp; Sons Ltd.","page":"1408-1426","source":"Wiley Online Library","title":"Administrative characteristics and timing of governments' crisis responses: A global study of early reactions to COVID-19","title-short":"Administrative characteristics and timing of governments' crisis responses","volume":"101","author":[{"family":"Jugl","given":"Marlene"}],"issued":{"date-parts":[["2023"]]}},"locator":"202"}],"schema":"https://github.com/citation-style-language/schema/raw/master/csl-citation.json"}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(Jugl, 2023, p. 202)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US" w:eastAsia="en-GB"/>
        </w:rPr>
        <w:t xml:space="preserve">.  </w:t>
      </w:r>
    </w:p>
    <w:p w14:paraId="781DA0DF" w14:textId="77777777" w:rsidR="00CC5602" w:rsidRPr="00CF1465" w:rsidRDefault="00CC5602" w:rsidP="00CC5602">
      <w:pPr>
        <w:spacing w:after="0" w:line="480" w:lineRule="auto"/>
        <w:ind w:firstLine="720"/>
        <w:rPr>
          <w:rFonts w:ascii="Times New Roman" w:eastAsia="Times New Roman" w:hAnsi="Times New Roman" w:cs="Times New Roman"/>
          <w:bCs/>
          <w:lang w:val="en-US" w:eastAsia="en-GB"/>
        </w:rPr>
      </w:pPr>
      <w:r w:rsidRPr="00CF1465">
        <w:rPr>
          <w:rFonts w:ascii="Times New Roman" w:eastAsia="Times New Roman" w:hAnsi="Times New Roman" w:cs="Times New Roman"/>
          <w:lang w:val="en-GB" w:eastAsia="en-GB"/>
        </w:rPr>
        <w:t xml:space="preserve">Nevertheless, centralization is often not an ideal option either for strengthening the legitimacy of crisis responses. In particular, centralizing crisis-decision making may blur or override established divisions of competences, particularly in federal systems where subnational authorities hold constitutionally enshrined powers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{"citationID":"zdRUcUw0","properties":{"formattedCitation":"(Bursens et al., 2021; Hegele &amp; Schnabel, 2021)","plainCitation":"(Bursens et al., 2021; Hegele &amp; Schnabel, 2021)","noteIndex":0},"citationItems":[{"id":1412,"uris":["http://zotero.org/users/10684127/items/HYFTWDJC"],"itemData":{"id":1412,"type":"chapter","container-title":"Federalism and the Response to COVID-19: A Comparative Analysis","event-place":"Oxon/New York","page":"39–48","publisher":"Routledge","publisher-place":"Oxon/New York","source":"Google Scholar","title":"Belgium's response to COVID-19: How to manage a pandemic in a competitive federal system?","title-short":"Belgium's response to COVID-19","URL":"https://library.oapen.org/bitstream/handle/20.500.12657/51423/9781000516258.pdf?sequence=1#page=64","author":[{"family":"Bursens","given":"Peter"},{"family":"Popelier","given":"Patricia"},{"family":"Meier","given":"Petra"}],"editor":[{"family":"Chattopadhyay","given":"Rupak"}],"accessed":{"date-parts":[["2024",4,3]]},"issued":{"date-parts":[["2021"]]}}},{"id":714,"uris":["http://zotero.org/users/10684127/items/TFYHPQFB"],"itemData":{"id":714,"type":"article-journal","abstract":"The ability of federal states to manage the COVID-19 pandemic has created much debate. Federations differ considerably in the way they have been tackling the crisis, however. To shed light on how European federations (Austria, Germany, Switzerland) managed COVID-19, this paper distinguishes two dimensions of federal decision making: centralised/decentralised and unilateral/coordinated decision making. Drawing on official government documents and press reports, it examines decisions on the introduction of containment measures and their subsequent easing during the first wave. While Austria and Switzerland adopted a centralised approach, decentralised decision making prevailed in Germany. However, most decisions were coordinated between the governments at the federal and constituent unit level in Austria and Germany, in contrast to Switzerland where unilateralism prevailed. This difference in approaches can partly be explained by the distribution of powers. Political and economic factors also influenced the choice of crisis management strategies.","container-title":"West European Politics","DOI":"10.1080/01402382.2021.1873529","ISSN":"0140-2382","issue":"5-6","note":"publisher: Routledge\n_eprint: https://doi.org/10.1080/01402382.2021.1873529","page":"1052-1076","source":"Taylor and Francis+NEJM","title":"Federalism and the management of the COVID-19 crisis: centralisation, decentralisation and (non-)coordination","title-short":"Federalism and the management of the COVID-19 crisis","volume":"44","author":[{"family":"Hegele","given":"Yvonne"},{"family":"Schnabel","given":"Johanna"}],"issued":{"date-parts":[["2021",9,19]]}}}],"schema":"https://github.com/citation-style-language/schema/raw/master/csl-citation.json"}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(Bursens et al., 2021; Hegele &amp; Schnabel, 2021)</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When central governments act beyond their usual remit or impose uniform strategies in areas typically managed regionally or locally (i.e., public health or education) this can provoke institutional friction. As such, political trade-offs arise not (only) from conflicting preferences, but also from contested interpretations of who has the legitimate authority to act, under what conditions, and to what extent.</w:t>
      </w:r>
    </w:p>
    <w:p w14:paraId="23B19601"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These trade-offs become even more complex in supranational governance, where authority is distributed beyond the nation-state. In the European Union, for example, the COVID-19 crisis tested the </w:t>
      </w:r>
      <w:r w:rsidRPr="00CF1465">
        <w:rPr>
          <w:rFonts w:ascii="Times New Roman" w:eastAsia="Times New Roman" w:hAnsi="Times New Roman" w:cs="Times New Roman"/>
          <w:lang w:val="en-US" w:eastAsia="en-GB"/>
        </w:rPr>
        <w:lastRenderedPageBreak/>
        <w:t xml:space="preserve">legitimacy of supranational coordination mechanisms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{"citationID":"wtREFoi8","properties":{"formattedCitation":"(Schmidt, 2022)","plainCitation":"(Schmidt, 2022)","noteIndex":0},"citationItems":[{"id":670,"uris":["http://zotero.org/users/10684127/items/X7PRCMGR"],"itemData":{"id":670,"type":"article-journal","abstract":"Emergency politics raises theoretical questions about the legitimacy of executive authorities’ governing activities in times of crisis, and in particular whether ensuring effective outcomes (output) can make up for the temporary suspension of political responsiveness (input) and accountable procedures (throughput). Answers depend not only on the specifics of the emergency actions but also on executives’ rhetorical power to legitimize such actions via ideational/discursive coercion, structuring, or persuasion. After outlining the theoretical issues involved, this contribution considers the legitimacy and rhetorical power of political executives in multilateral emergency politics and technical executives in supranational emergency politics. It uses the cases of the Council and the ECB in the Eurozone and Covid-19 crises in illustration, considering their legitimacy over time, between a crisis’ fast-burning phase of emergency politics and its slow-burning phase of legitimizing normalization or delegitimation.","container-title":"Journal of European Public Policy","DOI":"10.1080/13501763.2021.1916061","ISSN":"1350-1763","issue":"6","page":"979-993","source":"Taylor and Francis+NEJM","title":"European emergency politics and the question of legitimacy","volume":"29","author":[{"family":"Schmidt","given":"Vivien"}],"issued":{"date-parts":[["2022",6,3]]}}}],"schema":"https://github.com/citation-style-language/schema/raw/master/csl-citation.json"}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(Schmidt, 2022)</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w:t>
      </w:r>
      <w:r w:rsidRPr="00CF1465">
        <w:rPr>
          <w:rFonts w:ascii="Times New Roman" w:eastAsia="Times New Roman" w:hAnsi="Times New Roman" w:cs="Times New Roman"/>
          <w:lang w:val="en-GB" w:eastAsia="en-GB"/>
        </w:rPr>
        <w:t xml:space="preserve">In crisis situations, supranational actors may claim authority in areas traditionally reserved for national governments, triggering questions about subsidiarity and competences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{"citationID":"QTgqw7zl","properties":{"formattedCitation":"(Genschel &amp; and Jachtenfuchs, 2021; Schimmelfennig, 2014)","plainCitation":"(Genschel &amp; and Jachtenfuchs, 2021; Schimmelfennig, 2014)","noteIndex":0},"citationItems":[{"id":5037,"uris":["http://zotero.org/users/10684127/items/FKMLLKCC"],"itemData":{"id":5037,"type":"article-journal","container-title":"Journal of European Public Policy","DOI":"10.1080/13501763.2021.1881588","ISSN":"1350-1763","issue":"3","note":"publisher: Routledge","page":"350-369","source":"tandfonline.com (Atypon)","title":"Postfunctionalism reversed: solidarity and rebordering during the COVID-19 pandemic","title-short":"Postfunctionalism reversed","volume":"28","author":[{"family":"Genschel","given":"Philipp"},{"family":"Jachtenfuchs","given":"Markus","non-dropping-particle":"and"}],"issued":{"date-parts":[["2021",3,4]]}}},{"id":717,"uris":["http://zotero.org/users/10684127/items/REQT53TZ"],"itemData":{"id":717,"type":"article-journal","abstract":"The Euro crisis presents a puzzle to the post-functionalist approach to European integration. In spite of unprecedented social hardships, politicization, loss of popular support and political turmoil in the Eurozone, the Euro crisis has produced major new steps of technocratic supranational integration. This article shows that integration during the euro crisis can be sufficiently explained by a neofunctionalist account based on path dependency, endogenous preference change and functional spill over. Finally, it explores three mechanisms that have helped to shield EU-level reform from a constraining dissensus: euro-compatible government formation, avoidance of referendums and delegation to technocratic supranational organizations.","container-title":"Journal of European Integration","DOI":"10.1080/07036337.2014.886399","ISSN":"0703-6337","issue":"3","note":"publisher: Routledge\n_eprint: https://doi.org/10.1080/07036337.2014.886399","page":"321-337","source":"Taylor and Francis+NEJM","title":"European Integration in the Euro Crisis: The Limits of Postfunctionalism","title-short":"European Integration in the Euro Crisis","volume":"36","author":[{"family":"Schimmelfennig","given":"Frank"}],"issued":{"date-parts":[["2014",4,16]]}}}],"schema":"https://github.com/citation-style-language/schema/raw/master/csl-citation.json"}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Genschel</w:t>
      </w:r>
      <w:proofErr w:type="spellEnd"/>
      <w:r w:rsidRPr="00CF1465">
        <w:rPr>
          <w:rFonts w:ascii="Times New Roman" w:eastAsia="Times New Roman" w:hAnsi="Times New Roman" w:cs="Times New Roman"/>
          <w:lang w:val="en-GB" w:eastAsia="en-GB"/>
        </w:rPr>
        <w:t xml:space="preserve"> &amp; and </w:t>
      </w:r>
      <w:proofErr w:type="spellStart"/>
      <w:r w:rsidRPr="00CF1465">
        <w:rPr>
          <w:rFonts w:ascii="Times New Roman" w:eastAsia="Times New Roman" w:hAnsi="Times New Roman" w:cs="Times New Roman"/>
          <w:lang w:val="en-GB" w:eastAsia="en-GB"/>
        </w:rPr>
        <w:t>Jachtenfuchs</w:t>
      </w:r>
      <w:proofErr w:type="spellEnd"/>
      <w:r w:rsidRPr="00CF1465">
        <w:rPr>
          <w:rFonts w:ascii="Times New Roman" w:eastAsia="Times New Roman" w:hAnsi="Times New Roman" w:cs="Times New Roman"/>
          <w:lang w:val="en-GB" w:eastAsia="en-GB"/>
        </w:rPr>
        <w:t xml:space="preserve">, 2021; </w:t>
      </w:r>
      <w:proofErr w:type="spellStart"/>
      <w:r w:rsidRPr="00CF1465">
        <w:rPr>
          <w:rFonts w:ascii="Times New Roman" w:eastAsia="Times New Roman" w:hAnsi="Times New Roman" w:cs="Times New Roman"/>
          <w:lang w:val="en-GB" w:eastAsia="en-GB"/>
        </w:rPr>
        <w:t>Schimmelfennig</w:t>
      </w:r>
      <w:proofErr w:type="spellEnd"/>
      <w:r w:rsidRPr="00CF1465">
        <w:rPr>
          <w:rFonts w:ascii="Times New Roman" w:eastAsia="Times New Roman" w:hAnsi="Times New Roman" w:cs="Times New Roman"/>
          <w:lang w:val="en-GB" w:eastAsia="en-GB"/>
        </w:rPr>
        <w:t>, 2014)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An important question reflects to what extent citizens accept that supranational authorities, such as the EU or international organisations, are granted with increasing authority and responsibilities in a transboundary crisis response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{"citationID":"Ev3vcNcE","properties":{"formattedCitation":"(Boin et al., 2014)","plainCitation":"(Boin et al., 2014)","noteIndex":0},"citationItems":[{"id":597,"uris":["http://zotero.org/users/10684127/items/3MVCH8K4"],"itemData":{"id":597,"type":"article-journal","abstract":"In recent years, the European continent has witnessed a substantial number of “transboundary crises” – crises that cross geographical borders and affect multiple policy domains. Nation states find it hard to deal with such crises by themselves. International cooperation, thus, becomes increasingly important, but it is not clear what shape or form that cooperation should take. This article explores the growing role of the European Union (EU) in managing transboundary crises. More specifically, it reflects on the different ways in which the expanding contours of the EU's emerging crisis capacity can be organized. Using three “performative dimensions” – sense-making, coordination, and legitimacy – the article discusses the possible advantages and disadvantages of a decentralized, network model and compares it with a more centralized, lead-agency model. It concludes that the current network model is a logical outcome of the punctuated and fragmentary process through which EU crisis management capacities have been created. It also notes that the shortcomings of this model may necessitate elements of a lead-agency model. Such “agencification” of networks for transboundary crisis management may well lead to a hybrid model that is uniquely suited for the peculiar organizational and political creature that the EU is.","container-title":"Regulation &amp; Governance","DOI":"10.1111/rego.12035","ISSN":"1748-5991","issue":"4","language":"en","note":"_eprint: https://onlinelibrary.wiley.com/doi/pdf/10.1111/rego.12035","page":"418-436","source":"Wiley Online Library","title":"Building European Union capacity to manage transboundary crises: Network or lead-agency model?","title-short":"Building European Union capacity to manage transboundary crises","volume":"8","author":[{"family":"Boin","given":"Arjen"},{"family":"Busuioc","given":"Madalina"},{"family":"Groenleer","given":"Martijn"}],"issued":{"date-parts":[["2014"]]}}}],"schema":"https://github.com/citation-style-language/schema/raw/master/csl-citation.json"}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(Boin et al., 2014)</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w:t>
      </w:r>
    </w:p>
    <w:p w14:paraId="6ED47C1A"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With regards to this trade-off, crisis management scholarship has often discussed coordination as a competing logic for dealing with the fragmentation embedded in MLG systems. </w:t>
      </w:r>
      <w:r w:rsidRPr="00CF1465">
        <w:rPr>
          <w:rFonts w:ascii="Times New Roman" w:eastAsia="Times New Roman" w:hAnsi="Times New Roman" w:cs="Times New Roman"/>
          <w:lang w:val="en-GB" w:eastAsia="en-GB"/>
        </w:rPr>
        <w:t xml:space="preserve">Coordination offers a more integrative response to multi-level fragmentation. Rather than concentrating authority, it seeks to align actors across levels and jurisdictions while respecting their autonomy. Effective coordination can help manage legitimacy trade-offs by minimizing policy conflict, clarifying responsibilities, and enhancing mutual trust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{"citationID":"GsJwh3VX","properties":{"formattedCitation":"(Hegele &amp; Schnabel, 2021; Kapucu &amp; Hu, 2022)","plainCitation":"(Hegele &amp; Schnabel, 2021; Kapucu &amp; Hu, 2022)","noteIndex":0},"citationItems":[{"id":714,"uris":["http://zotero.org/users/10684127/items/TFYHPQFB"],"itemData":{"id":714,"type":"article-journal","abstract":"The ability of federal states to manage the COVID-19 pandemic has created much debate. Federations differ considerably in the way they have been tackling the crisis, however. To shed light on how European federations (Austria, Germany, Switzerland) managed COVID-19, this paper distinguishes two dimensions of federal decision making: centralised/decentralised and unilateral/coordinated decision making. Drawing on official government documents and press reports, it examines decisions on the introduction of containment measures and their subsequent easing during the first wave. While Austria and Switzerland adopted a centralised approach, decentralised decision making prevailed in Germany. However, most decisions were coordinated between the governments at the federal and constituent unit level in Austria and Germany, in contrast to Switzerland where unilateralism prevailed. This difference in approaches can partly be explained by the distribution of powers. Political and economic factors also influenced the choice of crisis management strategies.","container-title":"West European Politics","DOI":"10.1080/01402382.2021.1873529","ISSN":"0140-2382","issue":"5-6","note":"publisher: Routledge\n_eprint: https://doi.org/10.1080/01402382.2021.1873529","page":"1052-1076","source":"Taylor and Francis+NEJM","title":"Federalism and the management of the COVID-19 crisis: centralisation, decentralisation and (non-)coordination","title-short":"Federalism and the management of the COVID-19 crisis","volume":"44","author":[{"family":"Hegele","given":"Yvonne"},{"family":"Schnabel","given":"Johanna"}],"issued":{"date-parts":[["2021",9,19]]}}},{"id":719,"uris":["http://zotero.org/users/10684127/items/Z6BYCCJ9"],"itemData":{"id":719,"type":"article-journal","abstract":"Major emergencies and crises require action from all levels of government and the involvement of numerous organizations from the private and nonprofit sectors. Thus, interorganizational coordination is a crucial element of emergency and crisis management. This study first addresses how interagency coordination is structured in American policies and frameworks within the context of public health emergencies. Then, the significant coordination-related challenges that exist at the federal level are discussed, as well as how such challenges manifested in a severe shortage of critical medical resources at the outset of the pandemic. A series of government reports are then reviewed to further explore these coordination failures. Finally, recommendations are offered regarding ways to integrate network governance into the hierarchical governance structure for better crisis coordination. This research contributes to a broader understanding of interagency coordination in response to large-scale public health emergencies.","container-title":"Public Performance &amp; Management Review","DOI":"10.1080/15309576.2022.2040039","ISSN":"1530-9576","issue":"4","note":"publisher: Routledge\n_eprint: https://doi.org/10.1080/15309576.2022.2040039","page":"773-798","source":"Taylor and Francis+NEJM","title":"An Old Puzzle and Unprecedented Challenges: Coordination in Response to the COVID-19 Pandemic in the US","title-short":"An Old Puzzle and Unprecedented Challenges","volume":"45","author":[{"family":"Kapucu","given":"Naim"},{"family":"Hu","given":"Qian"}],"issued":{"date-parts":[["2022",7,4]]}}}],"schema":"https://github.com/citation-style-language/schema/raw/master/csl-citation.json"}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(Hegele &amp; Schnabel, 2021; </w:t>
      </w:r>
      <w:proofErr w:type="spellStart"/>
      <w:r w:rsidRPr="00CF1465">
        <w:rPr>
          <w:rFonts w:ascii="Times New Roman" w:eastAsia="Times New Roman" w:hAnsi="Times New Roman" w:cs="Times New Roman"/>
          <w:lang w:val="en-GB" w:eastAsia="en-GB"/>
        </w:rPr>
        <w:t>Kapucu</w:t>
      </w:r>
      <w:proofErr w:type="spellEnd"/>
      <w:r w:rsidRPr="00CF1465">
        <w:rPr>
          <w:rFonts w:ascii="Times New Roman" w:eastAsia="Times New Roman" w:hAnsi="Times New Roman" w:cs="Times New Roman"/>
          <w:lang w:val="en-GB" w:eastAsia="en-GB"/>
        </w:rPr>
        <w:t xml:space="preserve"> &amp; Hu, 2022)</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Potentially, it can also reinforce legitimacy by signalling inclusiveness and procedural fairness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{"citationID":"LVEE7yuW","properties":{"formattedCitation":"(cf. Tyler, 2006)","plainCitation":"(cf. Tyler, 2006)","noteIndex":0},"citationItems":[{"id":1024,"uris":["http://zotero.org/users/10684127/items/MD8FDUPZ"],"itemData":{"id":1024,"type":"article-journal","abstract":"Legitimacy is a psychological property of an authority, institution, or social arrangement that leads those connected to it to believe that it is appropriate, proper, and just. Because of legitimacy, people feel that they ought to defer to decisions and rules, following them voluntarily out of obligation rather than out of fear of punishment or anticipation of reward. Being legitimate is important to the success of authorities, institutions, and institutional arrangements since it is difficult to exert influence over others based solely upon the possession and use of power. Being able to gain voluntary acquiescence from most people, most of the time, due to their sense of obligation increases effectiveness during periods of scarcity, crisis, and conflict. The concept of legitimacy has a long history within social thought and social psychology, and it has emerged as increasingly important within recent research on the dynamics of political, legal, and social systems.","container-title":"Annual Review of Psychology","DOI":"10.1146/annurev.psych.57.102904.190038","ISSN":"0066-4308, 1545-2085","issue":"1","journalAbbreviation":"Annu. Rev. Psychol.","language":"en","page":"375-400","source":"DOI.org (Crossref)","title":"Psychological Perspectives on Legitimacy and Legitimation","volume":"57","author":[{"family":"Tyler","given":"Tom R."}],"issued":{"date-parts":[["2006",1,1]]}},"label":"page","prefix":"cf."}],"schema":"https://github.com/citation-style-language/schema/raw/master/csl-citation.json"}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(cf. Tyler, 2006)</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Yet coordination is not without costs. It demands time, negotiation and administrative resources, all of which are scarce in fast-moving crises. Moreover, the presence of multiple veto players can complicate agreement, delay important actions and/or water down responses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{"citationID":"h7fI5Zyy","properties":{"formattedCitation":"(Hooghe &amp; Marks, 2003)","plainCitation":"(Hooghe &amp; Marks, 2003)","noteIndex":0},"citationItems":[{"id":155,"uris":["http://zotero.org/users/10684127/items/3GITTFK9"],"itemData":{"id":155,"type":"article-journal","abstract":"The reallocation of authority upward, downward, and sideways from central states has drawn attention from a growing number of scholars in political science. Yet beyond agreement that governance has become (and should be) multi-level, there is no consensus about how it should be organized. This article draws on several literatures to distinguish two types of multi-level governance. One type conceives of dispersion of authority to general-purpose, nonintersecting, and durable jurisdictions. A second type of governance conceives of task-specific, intersecting, and flexible jurisdictions. We conclude by specifying the virtues of each type of governance.For comments and advice we are grateful to Christopher Ansell, Ian Bache, Richard Balme, Arthur Benz, Tanja Börzel, Renaud Dehousse, Burkard Eberlein, Peter Hall, Edgar Grande, Richard Haesly, Bob Jessop, Beate Kohler-Koch, David Lake, Patrick Le Galés, Christiane Lemke, David Lowery, Michael McGinnis, Andrew Moravcsik, Elinor Ostrom, Franz U. Pappi, Thomas Risse, James Rosenau, Alberta Sbragia, Philippe Schmitter, Ulf Sverdrup, Christian Tusschoff, Bernhard Wessels, the political science discussion group at the University of North Carolina, and the editor and three anonymous reviewers of APSR. We received institutional support from the Center for European Studies at the University of North Carolina, the Alexander von Humboldt Foundation, and the Wissenschaftszentrum für Sozialforschung in Berlin. Earlier versions were presented at the European Union Studies Association meeting, the ECPR pan-European Conference in Bordeaux, and Hannover Universität, Harvard University, Humboldt Universität, Indiana University at Bloomington, Mannheim Universität, Sheffield University, Sciences Po (Paris), Technische Universität München, and the Vrije Universiteit Amsterdam. The authors' names appear in alphabetical order.","container-title":"American Political Science Review","DOI":"10.1017/S0003055403000649","ISSN":"1537-5943, 0003-0554","issue":"2","language":"en","page":"233-243","source":"Cambridge University Press","title":"Unraveling the Central State, but How? Types of Multi-level Governance","title-short":"Unraveling the Central State, but How?","volume":"97","author":[{"family":"Hooghe","given":"Liesbet"},{"family":"Marks","given":"Gary"}],"issued":{"date-parts":[["2003",5]]}}}],"schema":"https://github.com/citation-style-language/schema/raw/master/csl-citation.json"}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w:t>
      </w:r>
      <w:proofErr w:type="spellStart"/>
      <w:r w:rsidRPr="00CF1465">
        <w:rPr>
          <w:rFonts w:ascii="Times New Roman" w:eastAsia="Times New Roman" w:hAnsi="Times New Roman" w:cs="Times New Roman"/>
          <w:lang w:val="en-GB" w:eastAsia="en-GB"/>
        </w:rPr>
        <w:t>Hooghe</w:t>
      </w:r>
      <w:proofErr w:type="spellEnd"/>
      <w:r w:rsidRPr="00CF1465">
        <w:rPr>
          <w:rFonts w:ascii="Times New Roman" w:eastAsia="Times New Roman" w:hAnsi="Times New Roman" w:cs="Times New Roman"/>
          <w:lang w:val="en-GB" w:eastAsia="en-GB"/>
        </w:rPr>
        <w:t xml:space="preserve"> &amp; Marks, 2003)</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xml:space="preserve">. This further creates challenges for governmental accountability, because it becomes rather unclear who can be held responsible for the most important policy decisions </w:t>
      </w: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ZOTERO_ITEM CSL_CITATION {"citationID":"VCaUuZDf","properties":{"formattedCitation":"(Bovens, 2007; Papadopoulos, 2007)","plainCitation":"(Bovens, 2007; Papadopoulos, 2007)","noteIndex":0},"citationItems":[{"id":144,"uris":["http://zotero.org/users/10684127/items/Z9MZWJ47"],"itemData":{"id":144,"type":"article-journal","abstract":"Abstract: It has been argued that the EU suffers from serious accountability deficits. But how can we establish the existence of accountability deficits? This article tries to get to grips with the appealing but elusive concept of accountability by asking three types of questions. First a conceptual one: what exactly is meant by accountability? In this article the concept of accountability is used in a rather narrow sense: a relationship between an actor and a forum, in which the actor has an obligation to explain and to justify his or her conduct, the forum can pose questions and pass judgement, and the actor may face consequences. The second question is analytical: what types of accountability are involved? A series of dimensions of accountability are discerned that can be used to describe the various accountability relations and arrangements that can be found in the different domains of European governance. The third question is evaluative: how should we assess these accountability arrangements? The article provides three evaluative perspectives: a democratic, a constitutional and a learning perspective. Each of these perspectives may produce different types of accountability deficits.","container-title":"European Law Journal","DOI":"10.1111/j.1468-0386.2007.00378.x","ISSN":"1468-0386","issue":"4","language":"en","page":"447-468","source":"Wiley Online Library","title":"Analysing and Assessing Accountability: A Conceptual Framework","title-short":"Analysing and Assessing Accountability","volume":"13","author":[{"family":"Bovens","given":"Mark"}],"issued":{"date-parts":[["2007",7,1]]}}},{"id":1302,"uris":["http://zotero.org/users/10684127/items/5RZ9Y26G"],"itemData":{"id":1302,"type":"article-journal","abstract":"Abstract: Most studies converge on the growth of processes of ‘multilevel governance’ (MLG) in policy making, related to the often combined trends towards supranationalism and regionalism. Such processes are usually analysed under the angle of their efficiency, while their impact on the quality of democracy is neglected. This article first defines the concepts of multilevel governance and accountability, and then identifies the various dimensions of the latter. It further argues that MLG generates novel forms of accountability, but undermines its democratic dimension mainly for the following reasons: the weak visibility of MLG networks, their selective composition and the prevalence of peer over public forms of accountability.","container-title":"European Law Journal","DOI":"10.1111/j.1468-0386.2007.00379.x","ISSN":"1468-0386","issue":"4","language":"en","page":"469-486","source":"Wiley Online Library","title":"Problems of Democratic Accountability in Network and Multilevel Governance","volume":"13","author":[{"family":"Papadopoulos","given":"Yannis"}],"issued":{"date-parts":[["2007",7,1]]}}}],"schema":"https://github.com/citation-style-language/schema/raw/master/csl-citation.json"}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(Bovens, 2007; Papadopoulos, 2007)</w:t>
      </w:r>
      <w:r w:rsidRPr="00CF1465">
        <w:rPr>
          <w:rFonts w:ascii="Times New Roman" w:eastAsia="Times New Roman" w:hAnsi="Times New Roman" w:cs="Times New Roman"/>
          <w:lang w:val="en-GB" w:eastAsia="en-GB"/>
        </w:rPr>
        <w:fldChar w:fldCharType="end"/>
      </w:r>
      <w:r w:rsidRPr="00CF1465">
        <w:rPr>
          <w:rFonts w:ascii="Times New Roman" w:eastAsia="Times New Roman" w:hAnsi="Times New Roman" w:cs="Times New Roman"/>
          <w:lang w:val="en-GB" w:eastAsia="en-GB"/>
        </w:rPr>
        <w:t>. As such, coordination can deal with several problems related to the trade-off between centralization and decentralization, but it still provides challenges for ensuring the legitimacy of crisis governance in MLG systems.</w:t>
      </w:r>
    </w:p>
    <w:p w14:paraId="68A9E62E" w14:textId="77777777" w:rsidR="00CC5602" w:rsidRPr="00CF1465" w:rsidRDefault="00CC5602" w:rsidP="00CC5602">
      <w:pPr>
        <w:widowControl w:val="0"/>
        <w:spacing w:before="240" w:after="0" w:line="480" w:lineRule="auto"/>
        <w:rPr>
          <w:rFonts w:ascii="Times New Roman" w:eastAsia="Times New Roman" w:hAnsi="Times New Roman" w:cs="Times New Roman"/>
          <w:b/>
          <w:bCs/>
          <w:lang w:val="en-US" w:eastAsia="en-GB"/>
        </w:rPr>
      </w:pPr>
      <w:r w:rsidRPr="00CF1465">
        <w:rPr>
          <w:rFonts w:ascii="Times New Roman" w:eastAsia="Times New Roman" w:hAnsi="Times New Roman" w:cs="Times New Roman"/>
          <w:b/>
          <w:bCs/>
          <w:lang w:val="en-US" w:eastAsia="en-GB"/>
        </w:rPr>
        <w:t>Conclusions</w:t>
      </w:r>
    </w:p>
    <w:p w14:paraId="58F072E9" w14:textId="77777777" w:rsidR="00CC5602" w:rsidRPr="00CF1465" w:rsidRDefault="00CC5602" w:rsidP="00CC5602">
      <w:pPr>
        <w:spacing w:after="0" w:line="480" w:lineRule="auto"/>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Transboundary crisis governance is often associated with legitimacy trade-offs. For governmental authorities, a core challenge reflects not only how they develop an adequate effective crisis management response, but also how to deliver crisis policies and interventions that citizens consider to be legitimate </w:t>
      </w:r>
      <w:r w:rsidRPr="00CF1465">
        <w:rPr>
          <w:rFonts w:ascii="Times New Roman" w:eastAsia="Times New Roman" w:hAnsi="Times New Roman" w:cs="Times New Roman"/>
          <w:lang w:eastAsia="en-GB"/>
        </w:rPr>
        <w:lastRenderedPageBreak/>
        <w:fldChar w:fldCharType="begin"/>
      </w:r>
      <w:r w:rsidRPr="00CF1465">
        <w:rPr>
          <w:rFonts w:ascii="Times New Roman" w:eastAsia="Times New Roman" w:hAnsi="Times New Roman" w:cs="Times New Roman"/>
          <w:lang w:val="en-US" w:eastAsia="en-GB"/>
        </w:rPr>
        <w:instrText xml:space="preserve"> ADDIN ZOTERO_ITEM CSL_CITATION {"citationID":"diWEmtXC","properties":{"formattedCitation":"(Christensen et al., 2016)","plainCitation":"(Christensen et al., 2016)","noteIndex":0},"citationItems":[{"id":"p8bpfMTc/maxcEoHx","uris":["http://zotero.org/users/5191464/items/YY8LV5XC"],"itemData":{"id":"p8bpfMTc/maxcEoHx","type":"article-journal","abstract":"What makes a well-functioning governmental crisis management system, and how can this be studied using an organization theory–based approach? A core argument is that such a system needs both governance capacity and governance legitimacy. Organizational arrangements as well as the legitimacy of government authorities will affect crisis management performance. A central argument is that both structural features and cultural context matter, as does the nature of the crisis. Is it a transboundary crisis? How unique is it, and how much uncertainty is associated with it? The arguments are substantiated with empirical examples and supported by a literature synthesis, focusing on public administration research. A main conclusion is that there is no optimal formula for harmonizing competing interests and tensions or for overcoming uncertainty and ambiguous government structures. Flexibility and adaptation are key assets, which are constrained by the political, administrative, and situational context. Furthermore, a future research agenda is indicated.","container-title":"Public Administration Review","DOI":"10.1111/puar.12558","ISSN":"1540-6210","issue":"6","language":"en","license":"© 2016 by The American Society for Public Administration","note":"_eprint: https://onlinelibrary.wiley.com/doi/pdf/10.1111/puar.12558","page":"887-897","source":"Wiley Online Library","title":"Organizing for Crisis Management: Building Governance Capacity and Legitimacy","title-short":"Organizing for Crisis Management","volume":"76","author":[{"family":"Christensen","given":"Tom"},{"family":"Lægreid","given":"Per"},{"family":"Rykkja","given":"Lise H."}],"issued":{"date-parts":[["2016"]]}}}],"schema":"https://github.com/citation-style-language/schema/raw/master/csl-citation.json"}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(Christensen et al., 2016)</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xml:space="preserve">. In MLG systems, we suggest that transboundary crises provide governmental authorities with two important and additional legitimacy challenges that generate trade-offs for legitimate crisis governance. </w:t>
      </w:r>
    </w:p>
    <w:p w14:paraId="1B754CAF" w14:textId="77777777" w:rsidR="00CC5602" w:rsidRPr="00CF1465" w:rsidRDefault="00CC5602" w:rsidP="00CC5602">
      <w:pPr>
        <w:spacing w:after="0" w:line="480" w:lineRule="auto"/>
        <w:ind w:firstLine="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First, policy trade-offs raise dilemmas between national coherence and uniformity versus regional flexibility and diversity, with the risk that either uniformity or differentiation may erode citizen trust depending on what citizens consider to be fair and appropriate. Second, political trade-offs revolve around the distribution of authority and competences. These trade-offs may lead to tensions between different levels of government, and create a dilemma between centralization and decentralization. </w:t>
      </w:r>
    </w:p>
    <w:p w14:paraId="7E0B8899" w14:textId="77777777" w:rsidR="00CC5602" w:rsidRPr="00CF1465" w:rsidRDefault="00CC5602" w:rsidP="00CC5602">
      <w:pPr>
        <w:spacing w:after="0" w:line="480" w:lineRule="auto"/>
        <w:ind w:firstLine="720"/>
        <w:rPr>
          <w:rFonts w:ascii="Times New Roman" w:eastAsia="Times New Roman" w:hAnsi="Times New Roman" w:cs="Times New Roman"/>
          <w:lang w:val="en-US" w:eastAsia="en-GB"/>
        </w:rPr>
      </w:pPr>
      <w:r w:rsidRPr="00CF1465">
        <w:rPr>
          <w:rFonts w:ascii="Times New Roman" w:eastAsia="Times New Roman" w:hAnsi="Times New Roman" w:cs="Times New Roman"/>
          <w:lang w:val="en-US" w:eastAsia="en-GB"/>
        </w:rPr>
        <w:t xml:space="preserve">Moreover, both trade-offs should be understood against the background of a political opportunity structure that MLG systems create for governmental authorities. In particular, the blurring of responsibilities across levels increases the salience of blame dynamics. Crises often generate public scrutiny, and when outcomes are contested, political actors may resort to blame-shifting rather than collaboration </w:t>
      </w:r>
      <w:r w:rsidRPr="00CF1465">
        <w:rPr>
          <w:rFonts w:ascii="Times New Roman" w:eastAsia="Times New Roman" w:hAnsi="Times New Roman" w:cs="Times New Roman"/>
          <w:lang w:eastAsia="en-GB"/>
        </w:rPr>
        <w:fldChar w:fldCharType="begin"/>
      </w:r>
      <w:r w:rsidRPr="00CF1465">
        <w:rPr>
          <w:rFonts w:ascii="Times New Roman" w:eastAsia="Times New Roman" w:hAnsi="Times New Roman" w:cs="Times New Roman"/>
          <w:lang w:val="en-US" w:eastAsia="en-GB"/>
        </w:rPr>
        <w:instrText xml:space="preserve"> ADDIN ZOTERO_ITEM CSL_CITATION {"citationID":"qParZ6iH","properties":{"formattedCitation":"(Hinterleitner et al., 2022; Mavrot &amp; Sager, 2024)","plainCitation":"(Hinterleitner et al., 2022; Mavrot &amp; Sager, 2024)","noteIndex":0},"citationItems":[{"id":4996,"uris":["http://zotero.org/users/10684127/items/X5YMKNXK"],"itemData":{"id":4996,"type":"article-journal","abstract":"This article investigates how governments shift blame during large-scale, prolonged crises. While existing research shows that governments can effectively diffuse blame through ‘fuzzy’ governance s...","archive_location":"world","container-title":"West European Politics","ISSN":"0140-2382","language":"EN","license":"© 2022 Informa UK Limited, trading as Taylor &amp; Francis Group","note":"publisher: Routledge","source":"www.tandfonline.com","title":"Blame avoidance in hard times: complex governance structures and the COVID-19 pandemic","title-short":"Blame avoidance in hard times","URL":"https://www.tandfonline.com/doi/abs/10.1080/01402382.2022.2064634","author":[{"family":"Hinterleitner","given":"Markus"},{"family":"Honegger","given":"Céline"},{"family":"Sager","given":"Fritz"}],"accessed":{"date-parts":[["2025",5,1]]},"issued":{"date-parts":[["2022",10,20]]}}},{"id":4993,"uris":["http://zotero.org/users/10684127/items/PASW4T39"],"itemData":{"id":4993,"type":"article-journal","abstract":"This article studies how the prolonged pandemic situation impacted crisis governance in the federalized governance system of Switzerland. It examines how in this acute crisis situation, the responsibility for decision-making fluctuated among governance levels, placing subnational states in a situation of uncertainty that caused a fragmented crisis management, and therefore suboptimal policy learning processes. The study is based on the case of COVID-19 governance in Switzerland, where, as in many other European countries, the management of the first pandemic wave was very centralized. However, the federal government avoided taking a strong lead during the subsequent waves. Consequently, pandemic management was marked by numerous fluctuations regarding who was in charge of the main COVID-19 decisions between the federal and subnational governance levels. A media analysis (February 2020–March 2022) and an analysis of the gray literature show that crisis governance and policy learning processes were scattered across levels of governance, which impeded the accumulation of knowledge and know-how. The article analyses how crises can give way to blame games between the levels of governance, thus hampering a coordinated crisis management and policy learning processes across the different stages of the pandemic.","container-title":"European Policy Analysis","DOI":"10.1002/epa2.1194","ISSN":"2380-6567","issue":"1","language":"en","license":"© 2023 Policy Studies Organization.","note":"_eprint: https://onlinelibrary.wiley.com/doi/pdf/10.1002/epa2.1194","page":"61-83","source":"Wiley Online Library","title":"Blame-avoidance and fragmented crisis management during the COVID-19 pandemic in Switzerland","volume":"10","author":[{"family":"Mavrot","given":"Céline"},{"family":"Sager","given":"Fritz"}],"issued":{"date-parts":[["2024"]]}}}],"schema":"https://github.com/citation-style-language/schema/raw/master/csl-citation.json"} </w:instrText>
      </w:r>
      <w:r w:rsidRPr="00CF1465">
        <w:rPr>
          <w:rFonts w:ascii="Times New Roman" w:eastAsia="Times New Roman" w:hAnsi="Times New Roman" w:cs="Times New Roman"/>
          <w:lang w:eastAsia="en-GB"/>
        </w:rPr>
        <w:fldChar w:fldCharType="separate"/>
      </w:r>
      <w:r w:rsidRPr="00CF1465">
        <w:rPr>
          <w:rFonts w:ascii="Times New Roman" w:eastAsia="Times New Roman" w:hAnsi="Times New Roman" w:cs="Times New Roman"/>
          <w:lang w:val="en-GB" w:eastAsia="en-GB"/>
        </w:rPr>
        <w:t xml:space="preserve">(Hinterleitner et al., 2022; </w:t>
      </w:r>
      <w:proofErr w:type="spellStart"/>
      <w:r w:rsidRPr="00CF1465">
        <w:rPr>
          <w:rFonts w:ascii="Times New Roman" w:eastAsia="Times New Roman" w:hAnsi="Times New Roman" w:cs="Times New Roman"/>
          <w:lang w:val="en-GB" w:eastAsia="en-GB"/>
        </w:rPr>
        <w:t>Mavrot</w:t>
      </w:r>
      <w:proofErr w:type="spellEnd"/>
      <w:r w:rsidRPr="00CF1465">
        <w:rPr>
          <w:rFonts w:ascii="Times New Roman" w:eastAsia="Times New Roman" w:hAnsi="Times New Roman" w:cs="Times New Roman"/>
          <w:lang w:val="en-GB" w:eastAsia="en-GB"/>
        </w:rPr>
        <w:t xml:space="preserve"> &amp; Sager, 2024)</w:t>
      </w:r>
      <w:r w:rsidRPr="00CF1465">
        <w:rPr>
          <w:rFonts w:ascii="Times New Roman" w:eastAsia="Times New Roman" w:hAnsi="Times New Roman" w:cs="Times New Roman"/>
          <w:lang w:eastAsia="en-GB"/>
        </w:rPr>
        <w:fldChar w:fldCharType="end"/>
      </w:r>
      <w:r w:rsidRPr="00CF1465">
        <w:rPr>
          <w:rFonts w:ascii="Times New Roman" w:eastAsia="Times New Roman" w:hAnsi="Times New Roman" w:cs="Times New Roman"/>
          <w:lang w:val="en-US" w:eastAsia="en-GB"/>
        </w:rPr>
        <w:t>. This undermines mutual trust and impairs the very coordination needed for an effective response.</w:t>
      </w:r>
    </w:p>
    <w:p w14:paraId="1B844A2C" w14:textId="77777777" w:rsidR="00CC5602" w:rsidRPr="00CC5602" w:rsidRDefault="00CC5602" w:rsidP="00CC5602">
      <w:pPr>
        <w:spacing w:after="0" w:line="480" w:lineRule="auto"/>
        <w:ind w:firstLine="720"/>
        <w:rPr>
          <w:rFonts w:ascii="Times New Roman" w:eastAsia="Times New Roman" w:hAnsi="Times New Roman" w:cs="Times New Roman"/>
          <w:lang w:val="en-US" w:eastAsia="en-GB"/>
        </w:rPr>
      </w:pPr>
      <w:r w:rsidRPr="00CF1465">
        <w:rPr>
          <w:rFonts w:ascii="Times New Roman" w:eastAsia="Times New Roman" w:hAnsi="Times New Roman" w:cs="Times New Roman"/>
          <w:lang w:val="en-US" w:eastAsia="en-GB"/>
        </w:rPr>
        <w:t xml:space="preserve">Ultimately, the legitimacy of crisis governance in MLG systems </w:t>
      </w:r>
      <w:r w:rsidRPr="00CF1465">
        <w:rPr>
          <w:rFonts w:ascii="Times New Roman" w:eastAsia="Times New Roman" w:hAnsi="Times New Roman" w:cs="Times New Roman"/>
          <w:lang w:val="en-GB" w:eastAsia="en-GB"/>
        </w:rPr>
        <w:t>depends not only on the substance of policy responses</w:t>
      </w:r>
      <w:r w:rsidRPr="00CF1465">
        <w:rPr>
          <w:rFonts w:ascii="Times New Roman" w:eastAsia="Times New Roman" w:hAnsi="Times New Roman" w:cs="Times New Roman"/>
          <w:lang w:val="en-US" w:eastAsia="en-GB"/>
        </w:rPr>
        <w:t>. It rests on the abilities of governmental authorities to justify both their decisions and their position within a broader governance constellation—managing not only what is decided, but who decides, how, and in relation to whom.</w:t>
      </w:r>
    </w:p>
    <w:p w14:paraId="3D1E45BD" w14:textId="77777777" w:rsidR="00CC5602" w:rsidRPr="00CF1465" w:rsidRDefault="00CC5602" w:rsidP="00CC5602">
      <w:pPr>
        <w:spacing w:after="0" w:line="480" w:lineRule="auto"/>
        <w:ind w:firstLine="720"/>
        <w:rPr>
          <w:rFonts w:ascii="Times New Roman" w:eastAsia="Times New Roman" w:hAnsi="Times New Roman" w:cs="Times New Roman"/>
          <w:lang w:val="en-US" w:eastAsia="en-GB"/>
        </w:rPr>
      </w:pPr>
    </w:p>
    <w:p w14:paraId="4D662FA3" w14:textId="77777777" w:rsidR="00CC5602" w:rsidRPr="00CF1465" w:rsidRDefault="00CC5602" w:rsidP="00CC5602">
      <w:pPr>
        <w:keepNext/>
        <w:spacing w:before="360" w:after="60" w:line="360" w:lineRule="auto"/>
        <w:ind w:right="567"/>
        <w:contextualSpacing/>
        <w:outlineLvl w:val="0"/>
        <w:rPr>
          <w:rFonts w:ascii="Times New Roman" w:eastAsia="Times New Roman" w:hAnsi="Times New Roman" w:cs="Arial"/>
          <w:b/>
          <w:bCs/>
          <w:kern w:val="32"/>
          <w:szCs w:val="32"/>
          <w:lang w:val="en-GB" w:eastAsia="en-GB"/>
        </w:rPr>
      </w:pPr>
      <w:r w:rsidRPr="00CF1465">
        <w:rPr>
          <w:rFonts w:ascii="Times New Roman" w:eastAsia="Times New Roman" w:hAnsi="Times New Roman" w:cs="Arial"/>
          <w:b/>
          <w:bCs/>
          <w:kern w:val="32"/>
          <w:szCs w:val="32"/>
          <w:lang w:val="en-GB" w:eastAsia="en-GB"/>
        </w:rPr>
        <w:t>References</w:t>
      </w:r>
    </w:p>
    <w:p w14:paraId="643E6118"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fldChar w:fldCharType="begin"/>
      </w:r>
      <w:r w:rsidRPr="00CF1465">
        <w:rPr>
          <w:rFonts w:ascii="Times New Roman" w:eastAsia="Times New Roman" w:hAnsi="Times New Roman" w:cs="Times New Roman"/>
          <w:lang w:val="en-GB" w:eastAsia="en-GB"/>
        </w:rPr>
        <w:instrText xml:space="preserve"> ADDIN ZOTERO_BIBL {"uncited":[],"omitted":[],"custom":[]} CSL_BIBLIOGRAPHY </w:instrText>
      </w:r>
      <w:r w:rsidRPr="00CF1465">
        <w:rPr>
          <w:rFonts w:ascii="Times New Roman" w:eastAsia="Times New Roman" w:hAnsi="Times New Roman" w:cs="Times New Roman"/>
          <w:lang w:val="en-GB" w:eastAsia="en-GB"/>
        </w:rPr>
        <w:fldChar w:fldCharType="separate"/>
      </w:r>
      <w:r w:rsidRPr="00CF1465">
        <w:rPr>
          <w:rFonts w:ascii="Times New Roman" w:eastAsia="Times New Roman" w:hAnsi="Times New Roman" w:cs="Times New Roman"/>
          <w:lang w:val="en-GB" w:eastAsia="en-GB"/>
        </w:rPr>
        <w:t xml:space="preserve">Aagaard, P., Easton, M., &amp; Head, B. W. (2024). Policy expertise in times of crisis. </w:t>
      </w:r>
      <w:r w:rsidRPr="00CF1465">
        <w:rPr>
          <w:rFonts w:ascii="Times New Roman" w:eastAsia="Times New Roman" w:hAnsi="Times New Roman" w:cs="Times New Roman"/>
          <w:i/>
          <w:iCs/>
          <w:lang w:val="en-GB" w:eastAsia="en-GB"/>
        </w:rPr>
        <w:t>Policy &amp;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52</w:t>
      </w:r>
      <w:r w:rsidRPr="00CF1465">
        <w:rPr>
          <w:rFonts w:ascii="Times New Roman" w:eastAsia="Times New Roman" w:hAnsi="Times New Roman" w:cs="Times New Roman"/>
          <w:lang w:val="en-GB" w:eastAsia="en-GB"/>
        </w:rPr>
        <w:t>(1), 2-23. https://doi.org/10.1332/03055736Y2023D000000016</w:t>
      </w:r>
    </w:p>
    <w:p w14:paraId="481FD09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Alink, F., Boin, A., &amp; </w:t>
      </w:r>
      <w:proofErr w:type="spellStart"/>
      <w:r w:rsidRPr="00CF1465">
        <w:rPr>
          <w:rFonts w:ascii="Times New Roman" w:eastAsia="Times New Roman" w:hAnsi="Times New Roman" w:cs="Times New Roman"/>
          <w:lang w:val="en-GB" w:eastAsia="en-GB"/>
        </w:rPr>
        <w:t>T’Hart</w:t>
      </w:r>
      <w:proofErr w:type="spellEnd"/>
      <w:r w:rsidRPr="00CF1465">
        <w:rPr>
          <w:rFonts w:ascii="Times New Roman" w:eastAsia="Times New Roman" w:hAnsi="Times New Roman" w:cs="Times New Roman"/>
          <w:lang w:val="en-GB" w:eastAsia="en-GB"/>
        </w:rPr>
        <w:t xml:space="preserve">, P. (2001). Institutional crises and reforms in policy sectors: The case of asylum policy in Europe.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w:t>
      </w:r>
      <w:r w:rsidRPr="00CF1465">
        <w:rPr>
          <w:rFonts w:ascii="Times New Roman" w:eastAsia="Times New Roman" w:hAnsi="Times New Roman" w:cs="Times New Roman"/>
          <w:lang w:val="en-GB" w:eastAsia="en-GB"/>
        </w:rPr>
        <w:t>(2), 286-306. https://doi.org/10.1080/13501760151146487</w:t>
      </w:r>
    </w:p>
    <w:p w14:paraId="07927998"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lastRenderedPageBreak/>
        <w:t>Amirkhanyan</w:t>
      </w:r>
      <w:proofErr w:type="spellEnd"/>
      <w:r w:rsidRPr="00CF1465">
        <w:rPr>
          <w:rFonts w:ascii="Times New Roman" w:eastAsia="Times New Roman" w:hAnsi="Times New Roman" w:cs="Times New Roman"/>
          <w:lang w:val="en-GB" w:eastAsia="en-GB"/>
        </w:rPr>
        <w:t xml:space="preserve">, A. A., Meier, K. J., Song, M., Roberts, F. W., Park, J., Vogel, D., Bellé, N., Molina Jr., A. L., &amp; Guul, T. S. (2023). Liberté, Égalité, </w:t>
      </w:r>
      <w:proofErr w:type="spellStart"/>
      <w:r w:rsidRPr="00CF1465">
        <w:rPr>
          <w:rFonts w:ascii="Times New Roman" w:eastAsia="Times New Roman" w:hAnsi="Times New Roman" w:cs="Times New Roman"/>
          <w:lang w:val="en-GB" w:eastAsia="en-GB"/>
        </w:rPr>
        <w:t>Crédibilité</w:t>
      </w:r>
      <w:proofErr w:type="spellEnd"/>
      <w:r w:rsidRPr="00CF1465">
        <w:rPr>
          <w:rFonts w:ascii="Times New Roman" w:eastAsia="Times New Roman" w:hAnsi="Times New Roman" w:cs="Times New Roman"/>
          <w:lang w:val="en-GB" w:eastAsia="en-GB"/>
        </w:rPr>
        <w:t xml:space="preserve">: An experimental study of citizens’ perceptions of government responses to COVID-19 in eight countries.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83</w:t>
      </w:r>
      <w:r w:rsidRPr="00CF1465">
        <w:rPr>
          <w:rFonts w:ascii="Times New Roman" w:eastAsia="Times New Roman" w:hAnsi="Times New Roman" w:cs="Times New Roman"/>
          <w:lang w:val="en-GB" w:eastAsia="en-GB"/>
        </w:rPr>
        <w:t>(2), 401-418. https://doi.org/10.1111/puar.13588</w:t>
      </w:r>
    </w:p>
    <w:p w14:paraId="194F60F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Anderson, P., Swan, C. B., Ferreira, C., &amp; </w:t>
      </w:r>
      <w:proofErr w:type="spellStart"/>
      <w:r w:rsidRPr="00CF1465">
        <w:rPr>
          <w:rFonts w:ascii="Times New Roman" w:eastAsia="Times New Roman" w:hAnsi="Times New Roman" w:cs="Times New Roman"/>
          <w:lang w:val="en-GB" w:eastAsia="en-GB"/>
        </w:rPr>
        <w:t>Sijstermans</w:t>
      </w:r>
      <w:proofErr w:type="spellEnd"/>
      <w:r w:rsidRPr="00CF1465">
        <w:rPr>
          <w:rFonts w:ascii="Times New Roman" w:eastAsia="Times New Roman" w:hAnsi="Times New Roman" w:cs="Times New Roman"/>
          <w:lang w:val="en-GB" w:eastAsia="en-GB"/>
        </w:rPr>
        <w:t xml:space="preserve">, J. (2024). State making or state breaking?’ Crisis, COVID-19 and the constitution in Belgium, Spain and the United Kingdom. </w:t>
      </w:r>
      <w:r w:rsidRPr="00CF1465">
        <w:rPr>
          <w:rFonts w:ascii="Times New Roman" w:eastAsia="Times New Roman" w:hAnsi="Times New Roman" w:cs="Times New Roman"/>
          <w:i/>
          <w:iCs/>
          <w:lang w:val="en-GB" w:eastAsia="en-GB"/>
        </w:rPr>
        <w:t>Nations and Nationalism</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30</w:t>
      </w:r>
      <w:r w:rsidRPr="00CF1465">
        <w:rPr>
          <w:rFonts w:ascii="Times New Roman" w:eastAsia="Times New Roman" w:hAnsi="Times New Roman" w:cs="Times New Roman"/>
          <w:lang w:val="en-GB" w:eastAsia="en-GB"/>
        </w:rPr>
        <w:t>(1), 110-127. https://doi.org/10.1111/nana.12983</w:t>
      </w:r>
    </w:p>
    <w:p w14:paraId="15468AD1"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Ansell, C., Boin, A., &amp; Keller, A. (2010). Managing Transboundary Crises: Identifying the Building Blocks of an Effective Response System.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18</w:t>
      </w:r>
      <w:r w:rsidRPr="00CF1465">
        <w:rPr>
          <w:rFonts w:ascii="Times New Roman" w:eastAsia="Times New Roman" w:hAnsi="Times New Roman" w:cs="Times New Roman"/>
          <w:lang w:val="en-GB" w:eastAsia="en-GB"/>
        </w:rPr>
        <w:t>(4), 195-207. https://doi.org/10.1111/j.1468-5973.2010.00620.x</w:t>
      </w:r>
    </w:p>
    <w:p w14:paraId="4E482D2C" w14:textId="77777777" w:rsidR="00CC5602" w:rsidRPr="00CF1465" w:rsidRDefault="00CC5602" w:rsidP="00CC5602">
      <w:pPr>
        <w:spacing w:after="0" w:line="480" w:lineRule="auto"/>
        <w:ind w:left="720" w:hanging="720"/>
        <w:rPr>
          <w:rFonts w:ascii="Times New Roman" w:eastAsia="Times New Roman" w:hAnsi="Times New Roman" w:cs="Times New Roman"/>
          <w:lang w:val="nl-NL" w:eastAsia="en-GB"/>
        </w:rPr>
      </w:pPr>
      <w:proofErr w:type="spellStart"/>
      <w:r w:rsidRPr="00CF1465">
        <w:rPr>
          <w:rFonts w:ascii="Times New Roman" w:eastAsia="Times New Roman" w:hAnsi="Times New Roman" w:cs="Times New Roman"/>
          <w:lang w:val="nl-NL" w:eastAsia="en-GB"/>
        </w:rPr>
        <w:t>Arnoudt</w:t>
      </w:r>
      <w:proofErr w:type="spellEnd"/>
      <w:r w:rsidRPr="00CF1465">
        <w:rPr>
          <w:rFonts w:ascii="Times New Roman" w:eastAsia="Times New Roman" w:hAnsi="Times New Roman" w:cs="Times New Roman"/>
          <w:lang w:val="nl-NL" w:eastAsia="en-GB"/>
        </w:rPr>
        <w:t xml:space="preserve">, R. (2021, maart 26). </w:t>
      </w:r>
      <w:r w:rsidRPr="00CF1465">
        <w:rPr>
          <w:rFonts w:ascii="Times New Roman" w:eastAsia="Times New Roman" w:hAnsi="Times New Roman" w:cs="Times New Roman"/>
          <w:i/>
          <w:iCs/>
          <w:lang w:val="nl-NL" w:eastAsia="en-GB"/>
        </w:rPr>
        <w:t>Scholen dicht of niet? Een kroniek van politiek gehakketak, stoere taal en verwarrende communicatie</w:t>
      </w:r>
      <w:r w:rsidRPr="00CF1465">
        <w:rPr>
          <w:rFonts w:ascii="Times New Roman" w:eastAsia="Times New Roman" w:hAnsi="Times New Roman" w:cs="Times New Roman"/>
          <w:lang w:val="nl-NL" w:eastAsia="en-GB"/>
        </w:rPr>
        <w:t>. VRTNWS. https://www.vrt.be/vrtnws/nl/2021/03/26/scholen-sluiten-of-niet-reconstructie-van-woelige-discussie-ove/</w:t>
      </w:r>
    </w:p>
    <w:p w14:paraId="41F9C222"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Bache, I., &amp; Flinders, M. (2004). </w:t>
      </w:r>
      <w:r w:rsidRPr="00CF1465">
        <w:rPr>
          <w:rFonts w:ascii="Times New Roman" w:eastAsia="Times New Roman" w:hAnsi="Times New Roman" w:cs="Times New Roman"/>
          <w:i/>
          <w:iCs/>
          <w:lang w:val="en-GB" w:eastAsia="en-GB"/>
        </w:rPr>
        <w:t>Multi-level Governance</w:t>
      </w:r>
      <w:r w:rsidRPr="00CF1465">
        <w:rPr>
          <w:rFonts w:ascii="Times New Roman" w:eastAsia="Times New Roman" w:hAnsi="Times New Roman" w:cs="Times New Roman"/>
          <w:lang w:val="en-GB" w:eastAsia="en-GB"/>
        </w:rPr>
        <w:t>. Oxford University Press.</w:t>
      </w:r>
    </w:p>
    <w:p w14:paraId="25996154" w14:textId="77777777" w:rsidR="00CC5602" w:rsidRPr="00CF1465" w:rsidRDefault="00CC5602" w:rsidP="00CC5602">
      <w:pPr>
        <w:spacing w:after="0" w:line="480" w:lineRule="auto"/>
        <w:ind w:left="720" w:hanging="720"/>
        <w:rPr>
          <w:rFonts w:ascii="Times New Roman" w:eastAsia="Times New Roman" w:hAnsi="Times New Roman" w:cs="Times New Roman"/>
          <w:lang w:val="it-IT" w:eastAsia="en-GB"/>
        </w:rPr>
      </w:pPr>
      <w:r w:rsidRPr="00CF1465">
        <w:rPr>
          <w:rFonts w:ascii="Times New Roman" w:eastAsia="Times New Roman" w:hAnsi="Times New Roman" w:cs="Times New Roman"/>
          <w:lang w:val="en-GB" w:eastAsia="en-GB"/>
        </w:rPr>
        <w:t xml:space="preserve">Baekkeskov, E. (2016). Same Threat, Different Responses: Experts Steering Politicians and Stakeholders in 2009 H1n1 Vaccination Policy-Making. </w:t>
      </w:r>
      <w:r w:rsidRPr="00CF1465">
        <w:rPr>
          <w:rFonts w:ascii="Times New Roman" w:eastAsia="Times New Roman" w:hAnsi="Times New Roman" w:cs="Times New Roman"/>
          <w:i/>
          <w:iCs/>
          <w:lang w:val="it-IT" w:eastAsia="en-GB"/>
        </w:rPr>
        <w:t>Public Administration</w:t>
      </w:r>
      <w:r w:rsidRPr="00CF1465">
        <w:rPr>
          <w:rFonts w:ascii="Times New Roman" w:eastAsia="Times New Roman" w:hAnsi="Times New Roman" w:cs="Times New Roman"/>
          <w:lang w:val="it-IT" w:eastAsia="en-GB"/>
        </w:rPr>
        <w:t xml:space="preserve">, </w:t>
      </w:r>
      <w:r w:rsidRPr="00CF1465">
        <w:rPr>
          <w:rFonts w:ascii="Times New Roman" w:eastAsia="Times New Roman" w:hAnsi="Times New Roman" w:cs="Times New Roman"/>
          <w:i/>
          <w:iCs/>
          <w:lang w:val="it-IT" w:eastAsia="en-GB"/>
        </w:rPr>
        <w:t>94</w:t>
      </w:r>
      <w:r w:rsidRPr="00CF1465">
        <w:rPr>
          <w:rFonts w:ascii="Times New Roman" w:eastAsia="Times New Roman" w:hAnsi="Times New Roman" w:cs="Times New Roman"/>
          <w:lang w:val="it-IT" w:eastAsia="en-GB"/>
        </w:rPr>
        <w:t>(2), 299-315. https://doi.org/10.1111/padm.12244</w:t>
      </w:r>
    </w:p>
    <w:p w14:paraId="0837983B" w14:textId="77777777" w:rsidR="00CC5602" w:rsidRPr="00CF1465" w:rsidRDefault="00CC5602" w:rsidP="00CC5602">
      <w:pPr>
        <w:spacing w:after="0" w:line="480" w:lineRule="auto"/>
        <w:ind w:left="720" w:hanging="720"/>
        <w:rPr>
          <w:rFonts w:ascii="Times New Roman" w:eastAsia="Times New Roman" w:hAnsi="Times New Roman" w:cs="Times New Roman"/>
          <w:lang w:val="en-US" w:eastAsia="en-GB"/>
        </w:rPr>
      </w:pPr>
      <w:r w:rsidRPr="00CF1465">
        <w:rPr>
          <w:rFonts w:ascii="Times New Roman" w:eastAsia="Times New Roman" w:hAnsi="Times New Roman" w:cs="Times New Roman"/>
          <w:lang w:val="it-IT" w:eastAsia="en-GB"/>
        </w:rPr>
        <w:t xml:space="preserve">Bailey, D., Crescenzi, R., Roller, E., </w:t>
      </w:r>
      <w:proofErr w:type="spellStart"/>
      <w:r w:rsidRPr="00CF1465">
        <w:rPr>
          <w:rFonts w:ascii="Times New Roman" w:eastAsia="Times New Roman" w:hAnsi="Times New Roman" w:cs="Times New Roman"/>
          <w:lang w:val="it-IT" w:eastAsia="en-GB"/>
        </w:rPr>
        <w:t>Anguelovski</w:t>
      </w:r>
      <w:proofErr w:type="spellEnd"/>
      <w:r w:rsidRPr="00CF1465">
        <w:rPr>
          <w:rFonts w:ascii="Times New Roman" w:eastAsia="Times New Roman" w:hAnsi="Times New Roman" w:cs="Times New Roman"/>
          <w:lang w:val="it-IT" w:eastAsia="en-GB"/>
        </w:rPr>
        <w:t xml:space="preserve">, I., </w:t>
      </w:r>
      <w:proofErr w:type="spellStart"/>
      <w:r w:rsidRPr="00CF1465">
        <w:rPr>
          <w:rFonts w:ascii="Times New Roman" w:eastAsia="Times New Roman" w:hAnsi="Times New Roman" w:cs="Times New Roman"/>
          <w:lang w:val="it-IT" w:eastAsia="en-GB"/>
        </w:rPr>
        <w:t>Datta</w:t>
      </w:r>
      <w:proofErr w:type="spellEnd"/>
      <w:r w:rsidRPr="00CF1465">
        <w:rPr>
          <w:rFonts w:ascii="Times New Roman" w:eastAsia="Times New Roman" w:hAnsi="Times New Roman" w:cs="Times New Roman"/>
          <w:lang w:val="it-IT" w:eastAsia="en-GB"/>
        </w:rPr>
        <w:t xml:space="preserve">, A., &amp; Harrison, J. (2021). </w:t>
      </w:r>
      <w:r w:rsidRPr="00CF1465">
        <w:rPr>
          <w:rFonts w:ascii="Times New Roman" w:eastAsia="Times New Roman" w:hAnsi="Times New Roman" w:cs="Times New Roman"/>
          <w:lang w:val="en-GB" w:eastAsia="en-GB"/>
        </w:rPr>
        <w:t xml:space="preserve">Regions in Covid-19 recovery. </w:t>
      </w:r>
      <w:r w:rsidRPr="00CF1465">
        <w:rPr>
          <w:rFonts w:ascii="Times New Roman" w:eastAsia="Times New Roman" w:hAnsi="Times New Roman" w:cs="Times New Roman"/>
          <w:i/>
          <w:iCs/>
          <w:lang w:val="en-US" w:eastAsia="en-GB"/>
        </w:rPr>
        <w:t>Regional Studies</w:t>
      </w:r>
      <w:r w:rsidRPr="00CF1465">
        <w:rPr>
          <w:rFonts w:ascii="Times New Roman" w:eastAsia="Times New Roman" w:hAnsi="Times New Roman" w:cs="Times New Roman"/>
          <w:lang w:val="en-US" w:eastAsia="en-GB"/>
        </w:rPr>
        <w:t xml:space="preserve">, </w:t>
      </w:r>
      <w:r w:rsidRPr="00CF1465">
        <w:rPr>
          <w:rFonts w:ascii="Times New Roman" w:eastAsia="Times New Roman" w:hAnsi="Times New Roman" w:cs="Times New Roman"/>
          <w:i/>
          <w:iCs/>
          <w:lang w:val="en-US" w:eastAsia="en-GB"/>
        </w:rPr>
        <w:t>55</w:t>
      </w:r>
      <w:r w:rsidRPr="00CF1465">
        <w:rPr>
          <w:rFonts w:ascii="Times New Roman" w:eastAsia="Times New Roman" w:hAnsi="Times New Roman" w:cs="Times New Roman"/>
          <w:lang w:val="en-US" w:eastAsia="en-GB"/>
        </w:rPr>
        <w:t>(12), 1955-1965. https://doi.org/10.1080/00343404.2021.2003768</w:t>
      </w:r>
    </w:p>
    <w:p w14:paraId="57D7B233" w14:textId="77777777" w:rsidR="00CC5602" w:rsidRPr="00CF1465" w:rsidRDefault="00CC5602" w:rsidP="00CC5602">
      <w:pPr>
        <w:spacing w:after="0" w:line="480" w:lineRule="auto"/>
        <w:ind w:left="720" w:hanging="720"/>
        <w:rPr>
          <w:rFonts w:ascii="Times New Roman" w:eastAsia="Times New Roman" w:hAnsi="Times New Roman" w:cs="Times New Roman"/>
          <w:lang w:val="es-ES" w:eastAsia="en-GB"/>
        </w:rPr>
      </w:pPr>
      <w:r w:rsidRPr="00CF1465">
        <w:rPr>
          <w:rFonts w:ascii="Times New Roman" w:eastAsia="Times New Roman" w:hAnsi="Times New Roman" w:cs="Times New Roman"/>
          <w:lang w:val="en-US" w:eastAsia="en-GB"/>
        </w:rPr>
        <w:t xml:space="preserve">Baquero, C. S., &amp; </w:t>
      </w:r>
      <w:proofErr w:type="spellStart"/>
      <w:r w:rsidRPr="00CF1465">
        <w:rPr>
          <w:rFonts w:ascii="Times New Roman" w:eastAsia="Times New Roman" w:hAnsi="Times New Roman" w:cs="Times New Roman"/>
          <w:lang w:val="en-US" w:eastAsia="en-GB"/>
        </w:rPr>
        <w:t>Mouzo</w:t>
      </w:r>
      <w:proofErr w:type="spellEnd"/>
      <w:r w:rsidRPr="00CF1465">
        <w:rPr>
          <w:rFonts w:ascii="Times New Roman" w:eastAsia="Times New Roman" w:hAnsi="Times New Roman" w:cs="Times New Roman"/>
          <w:lang w:val="en-US" w:eastAsia="en-GB"/>
        </w:rPr>
        <w:t xml:space="preserve">, J. (2020, </w:t>
      </w:r>
      <w:proofErr w:type="spellStart"/>
      <w:r w:rsidRPr="00CF1465">
        <w:rPr>
          <w:rFonts w:ascii="Times New Roman" w:eastAsia="Times New Roman" w:hAnsi="Times New Roman" w:cs="Times New Roman"/>
          <w:lang w:val="en-US" w:eastAsia="en-GB"/>
        </w:rPr>
        <w:t>april</w:t>
      </w:r>
      <w:proofErr w:type="spellEnd"/>
      <w:r w:rsidRPr="00CF1465">
        <w:rPr>
          <w:rFonts w:ascii="Times New Roman" w:eastAsia="Times New Roman" w:hAnsi="Times New Roman" w:cs="Times New Roman"/>
          <w:lang w:val="en-US" w:eastAsia="en-GB"/>
        </w:rPr>
        <w:t xml:space="preserve"> 27). </w:t>
      </w:r>
      <w:r w:rsidRPr="00CF1465">
        <w:rPr>
          <w:rFonts w:ascii="Times New Roman" w:eastAsia="Times New Roman" w:hAnsi="Times New Roman" w:cs="Times New Roman"/>
          <w:lang w:val="es-ES" w:eastAsia="en-GB"/>
        </w:rPr>
        <w:t xml:space="preserve">El gran confinamiento de Quim Torra. </w:t>
      </w:r>
      <w:r w:rsidRPr="00CF1465">
        <w:rPr>
          <w:rFonts w:ascii="Times New Roman" w:eastAsia="Times New Roman" w:hAnsi="Times New Roman" w:cs="Times New Roman"/>
          <w:i/>
          <w:iCs/>
          <w:lang w:val="es-ES" w:eastAsia="en-GB"/>
        </w:rPr>
        <w:t>El País</w:t>
      </w:r>
      <w:r w:rsidRPr="00CF1465">
        <w:rPr>
          <w:rFonts w:ascii="Times New Roman" w:eastAsia="Times New Roman" w:hAnsi="Times New Roman" w:cs="Times New Roman"/>
          <w:lang w:val="es-ES" w:eastAsia="en-GB"/>
        </w:rPr>
        <w:t>. https://elpais.com/espana/catalunya/2020-04-26/el-gran-confinamiento-de-quim-torra.html</w:t>
      </w:r>
    </w:p>
    <w:p w14:paraId="08DC332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s-ES" w:eastAsia="en-GB"/>
        </w:rPr>
        <w:t xml:space="preserve">Becher, M., </w:t>
      </w:r>
      <w:proofErr w:type="spellStart"/>
      <w:r w:rsidRPr="00CF1465">
        <w:rPr>
          <w:rFonts w:ascii="Times New Roman" w:eastAsia="Times New Roman" w:hAnsi="Times New Roman" w:cs="Times New Roman"/>
          <w:lang w:val="es-ES" w:eastAsia="en-GB"/>
        </w:rPr>
        <w:t>Longuet</w:t>
      </w:r>
      <w:proofErr w:type="spellEnd"/>
      <w:r w:rsidRPr="00CF1465">
        <w:rPr>
          <w:rFonts w:ascii="Times New Roman" w:eastAsia="Times New Roman" w:hAnsi="Times New Roman" w:cs="Times New Roman"/>
          <w:lang w:val="es-ES" w:eastAsia="en-GB"/>
        </w:rPr>
        <w:t xml:space="preserve">-Marx, N., Pons, V., </w:t>
      </w:r>
      <w:proofErr w:type="spellStart"/>
      <w:r w:rsidRPr="00CF1465">
        <w:rPr>
          <w:rFonts w:ascii="Times New Roman" w:eastAsia="Times New Roman" w:hAnsi="Times New Roman" w:cs="Times New Roman"/>
          <w:lang w:val="es-ES" w:eastAsia="en-GB"/>
        </w:rPr>
        <w:t>Brouard</w:t>
      </w:r>
      <w:proofErr w:type="spellEnd"/>
      <w:r w:rsidRPr="00CF1465">
        <w:rPr>
          <w:rFonts w:ascii="Times New Roman" w:eastAsia="Times New Roman" w:hAnsi="Times New Roman" w:cs="Times New Roman"/>
          <w:lang w:val="es-ES" w:eastAsia="en-GB"/>
        </w:rPr>
        <w:t xml:space="preserve">, S., Foucault, M., </w:t>
      </w:r>
      <w:proofErr w:type="spellStart"/>
      <w:r w:rsidRPr="00CF1465">
        <w:rPr>
          <w:rFonts w:ascii="Times New Roman" w:eastAsia="Times New Roman" w:hAnsi="Times New Roman" w:cs="Times New Roman"/>
          <w:lang w:val="es-ES" w:eastAsia="en-GB"/>
        </w:rPr>
        <w:t>Galasso</w:t>
      </w:r>
      <w:proofErr w:type="spellEnd"/>
      <w:r w:rsidRPr="00CF1465">
        <w:rPr>
          <w:rFonts w:ascii="Times New Roman" w:eastAsia="Times New Roman" w:hAnsi="Times New Roman" w:cs="Times New Roman"/>
          <w:lang w:val="es-ES" w:eastAsia="en-GB"/>
        </w:rPr>
        <w:t xml:space="preserve">, V., </w:t>
      </w:r>
      <w:proofErr w:type="spellStart"/>
      <w:r w:rsidRPr="00CF1465">
        <w:rPr>
          <w:rFonts w:ascii="Times New Roman" w:eastAsia="Times New Roman" w:hAnsi="Times New Roman" w:cs="Times New Roman"/>
          <w:lang w:val="es-ES" w:eastAsia="en-GB"/>
        </w:rPr>
        <w:t>Kerrouche</w:t>
      </w:r>
      <w:proofErr w:type="spellEnd"/>
      <w:r w:rsidRPr="00CF1465">
        <w:rPr>
          <w:rFonts w:ascii="Times New Roman" w:eastAsia="Times New Roman" w:hAnsi="Times New Roman" w:cs="Times New Roman"/>
          <w:lang w:val="es-ES" w:eastAsia="en-GB"/>
        </w:rPr>
        <w:t xml:space="preserve">, E., León Alfonso, S., &amp; </w:t>
      </w:r>
      <w:proofErr w:type="spellStart"/>
      <w:r w:rsidRPr="00CF1465">
        <w:rPr>
          <w:rFonts w:ascii="Times New Roman" w:eastAsia="Times New Roman" w:hAnsi="Times New Roman" w:cs="Times New Roman"/>
          <w:lang w:val="es-ES" w:eastAsia="en-GB"/>
        </w:rPr>
        <w:t>Stegmueller</w:t>
      </w:r>
      <w:proofErr w:type="spellEnd"/>
      <w:r w:rsidRPr="00CF1465">
        <w:rPr>
          <w:rFonts w:ascii="Times New Roman" w:eastAsia="Times New Roman" w:hAnsi="Times New Roman" w:cs="Times New Roman"/>
          <w:lang w:val="es-ES" w:eastAsia="en-GB"/>
        </w:rPr>
        <w:t xml:space="preserve">, D. (2024). </w:t>
      </w:r>
      <w:r w:rsidRPr="00CF1465">
        <w:rPr>
          <w:rFonts w:ascii="Times New Roman" w:eastAsia="Times New Roman" w:hAnsi="Times New Roman" w:cs="Times New Roman"/>
          <w:lang w:val="en-GB" w:eastAsia="en-GB"/>
        </w:rPr>
        <w:t xml:space="preserve">Government Performance and Democracy: Survey </w:t>
      </w:r>
      <w:r w:rsidRPr="00CF1465">
        <w:rPr>
          <w:rFonts w:ascii="Times New Roman" w:eastAsia="Times New Roman" w:hAnsi="Times New Roman" w:cs="Times New Roman"/>
          <w:lang w:val="en-GB" w:eastAsia="en-GB"/>
        </w:rPr>
        <w:lastRenderedPageBreak/>
        <w:t xml:space="preserve">Experimental Evidence from 12 Countries during COVID-19. </w:t>
      </w:r>
      <w:r w:rsidRPr="00CF1465">
        <w:rPr>
          <w:rFonts w:ascii="Times New Roman" w:eastAsia="Times New Roman" w:hAnsi="Times New Roman" w:cs="Times New Roman"/>
          <w:i/>
          <w:iCs/>
          <w:lang w:val="en-GB" w:eastAsia="en-GB"/>
        </w:rPr>
        <w:t>The Journal of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86</w:t>
      </w:r>
      <w:r w:rsidRPr="00CF1465">
        <w:rPr>
          <w:rFonts w:ascii="Times New Roman" w:eastAsia="Times New Roman" w:hAnsi="Times New Roman" w:cs="Times New Roman"/>
          <w:lang w:val="en-GB" w:eastAsia="en-GB"/>
        </w:rPr>
        <w:t>(4), 1162-1176. https://doi.org/10.1086/729962</w:t>
      </w:r>
    </w:p>
    <w:p w14:paraId="02A35D3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Belle, N., &amp; </w:t>
      </w:r>
      <w:proofErr w:type="spellStart"/>
      <w:r w:rsidRPr="00CF1465">
        <w:rPr>
          <w:rFonts w:ascii="Times New Roman" w:eastAsia="Times New Roman" w:hAnsi="Times New Roman" w:cs="Times New Roman"/>
          <w:lang w:val="en-GB" w:eastAsia="en-GB"/>
        </w:rPr>
        <w:t>Cantarelli</w:t>
      </w:r>
      <w:proofErr w:type="spellEnd"/>
      <w:r w:rsidRPr="00CF1465">
        <w:rPr>
          <w:rFonts w:ascii="Times New Roman" w:eastAsia="Times New Roman" w:hAnsi="Times New Roman" w:cs="Times New Roman"/>
          <w:lang w:val="en-GB" w:eastAsia="en-GB"/>
        </w:rPr>
        <w:t xml:space="preserve">, P. (2022). Your Money, Your Life, or Your Freedom? A Discrete-Choice Experiment on Trade-Offs During a Public Health Crisis.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82</w:t>
      </w:r>
      <w:r w:rsidRPr="00CF1465">
        <w:rPr>
          <w:rFonts w:ascii="Times New Roman" w:eastAsia="Times New Roman" w:hAnsi="Times New Roman" w:cs="Times New Roman"/>
          <w:lang w:val="en-GB" w:eastAsia="en-GB"/>
        </w:rPr>
        <w:t>(1), 59-68. https://doi.org/10.1111/puar.13429</w:t>
      </w:r>
    </w:p>
    <w:p w14:paraId="503B34E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Bjørnskov, C., &amp; Voigt, S. (2022). Emergencies: On the misuse of government powers. </w:t>
      </w:r>
      <w:r w:rsidRPr="00CF1465">
        <w:rPr>
          <w:rFonts w:ascii="Times New Roman" w:eastAsia="Times New Roman" w:hAnsi="Times New Roman" w:cs="Times New Roman"/>
          <w:i/>
          <w:iCs/>
          <w:lang w:val="en-GB" w:eastAsia="en-GB"/>
        </w:rPr>
        <w:t>Public Choice</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190</w:t>
      </w:r>
      <w:r w:rsidRPr="00CF1465">
        <w:rPr>
          <w:rFonts w:ascii="Times New Roman" w:eastAsia="Times New Roman" w:hAnsi="Times New Roman" w:cs="Times New Roman"/>
          <w:lang w:val="en-GB" w:eastAsia="en-GB"/>
        </w:rPr>
        <w:t>(1), 1-32. https://doi.org/10.1007/s11127-021-00918-6</w:t>
      </w:r>
    </w:p>
    <w:p w14:paraId="0A6A92A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Blondin, D., &amp; Boin, A. (2020). Cooperation in the Face of Transboundary Crisis: A Framework for Analysis. </w:t>
      </w:r>
      <w:r w:rsidRPr="00CF1465">
        <w:rPr>
          <w:rFonts w:ascii="Times New Roman" w:eastAsia="Times New Roman" w:hAnsi="Times New Roman" w:cs="Times New Roman"/>
          <w:i/>
          <w:iCs/>
          <w:lang w:val="en-GB" w:eastAsia="en-GB"/>
        </w:rPr>
        <w:t>Perspectives on Public Management and Governance</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w:t>
      </w:r>
      <w:r w:rsidRPr="00CF1465">
        <w:rPr>
          <w:rFonts w:ascii="Times New Roman" w:eastAsia="Times New Roman" w:hAnsi="Times New Roman" w:cs="Times New Roman"/>
          <w:lang w:val="en-GB" w:eastAsia="en-GB"/>
        </w:rPr>
        <w:t>(3), 197-209. https://doi.org/10.1093/ppmgov/gvz031</w:t>
      </w:r>
    </w:p>
    <w:p w14:paraId="3588519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(2019). The Transboundary Crisis: Why we are unprepared and the road ahead.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27</w:t>
      </w:r>
      <w:r w:rsidRPr="00CF1465">
        <w:rPr>
          <w:rFonts w:ascii="Times New Roman" w:eastAsia="Times New Roman" w:hAnsi="Times New Roman" w:cs="Times New Roman"/>
          <w:lang w:val="en-GB" w:eastAsia="en-GB"/>
        </w:rPr>
        <w:t>(1), 94-99. https://doi.org/10.1111/1468-5973.12241</w:t>
      </w:r>
    </w:p>
    <w:p w14:paraId="49AE76D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Busuioc, M., &amp; </w:t>
      </w:r>
      <w:proofErr w:type="spellStart"/>
      <w:r w:rsidRPr="00CF1465">
        <w:rPr>
          <w:rFonts w:ascii="Times New Roman" w:eastAsia="Times New Roman" w:hAnsi="Times New Roman" w:cs="Times New Roman"/>
          <w:lang w:val="en-GB" w:eastAsia="en-GB"/>
        </w:rPr>
        <w:t>Groenleer</w:t>
      </w:r>
      <w:proofErr w:type="spellEnd"/>
      <w:r w:rsidRPr="00CF1465">
        <w:rPr>
          <w:rFonts w:ascii="Times New Roman" w:eastAsia="Times New Roman" w:hAnsi="Times New Roman" w:cs="Times New Roman"/>
          <w:lang w:val="en-GB" w:eastAsia="en-GB"/>
        </w:rPr>
        <w:t xml:space="preserve">, M. (2014). Building European Union capacity to manage transboundary crises: Network or lead-agency model? </w:t>
      </w:r>
      <w:r w:rsidRPr="00CF1465">
        <w:rPr>
          <w:rFonts w:ascii="Times New Roman" w:eastAsia="Times New Roman" w:hAnsi="Times New Roman" w:cs="Times New Roman"/>
          <w:i/>
          <w:iCs/>
          <w:lang w:val="en-GB" w:eastAsia="en-GB"/>
        </w:rPr>
        <w:t>Regulation &amp; Governance</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w:t>
      </w:r>
      <w:r w:rsidRPr="00CF1465">
        <w:rPr>
          <w:rFonts w:ascii="Times New Roman" w:eastAsia="Times New Roman" w:hAnsi="Times New Roman" w:cs="Times New Roman"/>
          <w:lang w:val="en-GB" w:eastAsia="en-GB"/>
        </w:rPr>
        <w:t>(4), 418-436. https://doi.org/10.1111/rego.12035</w:t>
      </w:r>
    </w:p>
    <w:p w14:paraId="45126C1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Comfort, L. K., &amp; Demchak, C. C. (2010). The Rise of Resilience. In L. K. Comfort, A. Boin, &amp; C. C. Demchak (Red.), </w:t>
      </w:r>
      <w:r w:rsidRPr="00CF1465">
        <w:rPr>
          <w:rFonts w:ascii="Times New Roman" w:eastAsia="Times New Roman" w:hAnsi="Times New Roman" w:cs="Times New Roman"/>
          <w:i/>
          <w:iCs/>
          <w:lang w:val="en-GB" w:eastAsia="en-GB"/>
        </w:rPr>
        <w:t>Designing Resilience: Preparing for Extreme Events</w:t>
      </w:r>
      <w:r w:rsidRPr="00CF1465">
        <w:rPr>
          <w:rFonts w:ascii="Times New Roman" w:eastAsia="Times New Roman" w:hAnsi="Times New Roman" w:cs="Times New Roman"/>
          <w:lang w:val="en-GB" w:eastAsia="en-GB"/>
        </w:rPr>
        <w:t xml:space="preserve"> (pp. 1-12). University of Pittsburgh Pre.</w:t>
      </w:r>
    </w:p>
    <w:p w14:paraId="6EC9F24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Hart, P. ‘t, &amp; Kuipers, S. (2018). The Crisis Approach. In H. Rodríguez, W. Donner, &amp; J. E. Trainor (Red.), </w:t>
      </w:r>
      <w:r w:rsidRPr="00CF1465">
        <w:rPr>
          <w:rFonts w:ascii="Times New Roman" w:eastAsia="Times New Roman" w:hAnsi="Times New Roman" w:cs="Times New Roman"/>
          <w:i/>
          <w:iCs/>
          <w:lang w:val="en-GB" w:eastAsia="en-GB"/>
        </w:rPr>
        <w:t>Handbook of Disaster Research</w:t>
      </w:r>
      <w:r w:rsidRPr="00CF1465">
        <w:rPr>
          <w:rFonts w:ascii="Times New Roman" w:eastAsia="Times New Roman" w:hAnsi="Times New Roman" w:cs="Times New Roman"/>
          <w:lang w:val="en-GB" w:eastAsia="en-GB"/>
        </w:rPr>
        <w:t xml:space="preserve"> (pp. 23-38). Springer International Publishing. https://doi.org/10.1007/978-3-319-63254-4_2</w:t>
      </w:r>
    </w:p>
    <w:p w14:paraId="546100B6"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McConnell, A., &amp; ’t Hart, P. (2021). </w:t>
      </w:r>
      <w:r w:rsidRPr="00CF1465">
        <w:rPr>
          <w:rFonts w:ascii="Times New Roman" w:eastAsia="Times New Roman" w:hAnsi="Times New Roman" w:cs="Times New Roman"/>
          <w:i/>
          <w:iCs/>
          <w:lang w:val="en-GB" w:eastAsia="en-GB"/>
        </w:rPr>
        <w:t>Governing the Pandemic: The Politics of Navigating a Mega-Crisis</w:t>
      </w:r>
      <w:r w:rsidRPr="00CF1465">
        <w:rPr>
          <w:rFonts w:ascii="Times New Roman" w:eastAsia="Times New Roman" w:hAnsi="Times New Roman" w:cs="Times New Roman"/>
          <w:lang w:val="en-GB" w:eastAsia="en-GB"/>
        </w:rPr>
        <w:t>. Springer International Publishing. https://doi.org/10.1007/978-3-030-72680-5</w:t>
      </w:r>
    </w:p>
    <w:p w14:paraId="28651B76"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&amp; </w:t>
      </w:r>
      <w:proofErr w:type="spellStart"/>
      <w:r w:rsidRPr="00CF1465">
        <w:rPr>
          <w:rFonts w:ascii="Times New Roman" w:eastAsia="Times New Roman" w:hAnsi="Times New Roman" w:cs="Times New Roman"/>
          <w:lang w:val="en-GB" w:eastAsia="en-GB"/>
        </w:rPr>
        <w:t>Rhinard</w:t>
      </w:r>
      <w:proofErr w:type="spellEnd"/>
      <w:r w:rsidRPr="00CF1465">
        <w:rPr>
          <w:rFonts w:ascii="Times New Roman" w:eastAsia="Times New Roman" w:hAnsi="Times New Roman" w:cs="Times New Roman"/>
          <w:lang w:val="en-GB" w:eastAsia="en-GB"/>
        </w:rPr>
        <w:t xml:space="preserve">, M. (2008). Managing Transboundary Crises: What Role for the European Union? </w:t>
      </w:r>
      <w:r w:rsidRPr="00CF1465">
        <w:rPr>
          <w:rFonts w:ascii="Times New Roman" w:eastAsia="Times New Roman" w:hAnsi="Times New Roman" w:cs="Times New Roman"/>
          <w:i/>
          <w:iCs/>
          <w:lang w:val="en-GB" w:eastAsia="en-GB"/>
        </w:rPr>
        <w:t>International Studies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10</w:t>
      </w:r>
      <w:r w:rsidRPr="00CF1465">
        <w:rPr>
          <w:rFonts w:ascii="Times New Roman" w:eastAsia="Times New Roman" w:hAnsi="Times New Roman" w:cs="Times New Roman"/>
          <w:lang w:val="en-GB" w:eastAsia="en-GB"/>
        </w:rPr>
        <w:t>(1), 1-26.</w:t>
      </w:r>
    </w:p>
    <w:p w14:paraId="49DB536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Boin, A., &amp; ‘t Hart, P. (2022). From crisis to reform? Exploring three post-COVID pathways. </w:t>
      </w:r>
      <w:r w:rsidRPr="00CF1465">
        <w:rPr>
          <w:rFonts w:ascii="Times New Roman" w:eastAsia="Times New Roman" w:hAnsi="Times New Roman" w:cs="Times New Roman"/>
          <w:i/>
          <w:iCs/>
          <w:lang w:val="en-GB" w:eastAsia="en-GB"/>
        </w:rPr>
        <w:t>Policy and Society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41</w:t>
      </w:r>
      <w:r w:rsidRPr="00CF1465">
        <w:rPr>
          <w:rFonts w:ascii="Times New Roman" w:eastAsia="Times New Roman" w:hAnsi="Times New Roman" w:cs="Times New Roman"/>
          <w:lang w:val="en-GB" w:eastAsia="en-GB"/>
        </w:rPr>
        <w:t>(1), 13-24. https://doi.org/10.1093/polsoc/puab007</w:t>
      </w:r>
    </w:p>
    <w:p w14:paraId="7E1CB3CB"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’t Hart, P., &amp; McConnell, A. (2009). Crisis exploitation: Political and policy impacts of framing contests.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16</w:t>
      </w:r>
      <w:r w:rsidRPr="00CF1465">
        <w:rPr>
          <w:rFonts w:ascii="Times New Roman" w:eastAsia="Times New Roman" w:hAnsi="Times New Roman" w:cs="Times New Roman"/>
          <w:lang w:val="en-GB" w:eastAsia="en-GB"/>
        </w:rPr>
        <w:t>(1), 81-106. https://doi.org/10.1080/13501760802453221</w:t>
      </w:r>
    </w:p>
    <w:p w14:paraId="2E2A773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Boin, A., ’t Hart, P., Stern, E., &amp; Sundelius, B. (2005). </w:t>
      </w:r>
      <w:r w:rsidRPr="00CF1465">
        <w:rPr>
          <w:rFonts w:ascii="Times New Roman" w:eastAsia="Times New Roman" w:hAnsi="Times New Roman" w:cs="Times New Roman"/>
          <w:i/>
          <w:iCs/>
          <w:lang w:val="en-GB" w:eastAsia="en-GB"/>
        </w:rPr>
        <w:t>The Politics of Crisis Management: Public Leadership Under Pressure</w:t>
      </w:r>
      <w:r w:rsidRPr="00CF1465">
        <w:rPr>
          <w:rFonts w:ascii="Times New Roman" w:eastAsia="Times New Roman" w:hAnsi="Times New Roman" w:cs="Times New Roman"/>
          <w:lang w:val="en-GB" w:eastAsia="en-GB"/>
        </w:rPr>
        <w:t>. Cambridge University Press. https://doi.org/10.1017/CBO9780511490880</w:t>
      </w:r>
    </w:p>
    <w:p w14:paraId="2E2C7E9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Bovens, M. (2007). Analysing and Assessing Accountability: A Conceptual Framework. </w:t>
      </w:r>
      <w:r w:rsidRPr="00CF1465">
        <w:rPr>
          <w:rFonts w:ascii="Times New Roman" w:eastAsia="Times New Roman" w:hAnsi="Times New Roman" w:cs="Times New Roman"/>
          <w:i/>
          <w:iCs/>
          <w:lang w:val="en-GB" w:eastAsia="en-GB"/>
        </w:rPr>
        <w:t>European Law Journal</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13</w:t>
      </w:r>
      <w:r w:rsidRPr="00CF1465">
        <w:rPr>
          <w:rFonts w:ascii="Times New Roman" w:eastAsia="Times New Roman" w:hAnsi="Times New Roman" w:cs="Times New Roman"/>
          <w:lang w:val="en-GB" w:eastAsia="en-GB"/>
        </w:rPr>
        <w:t>(4), 447-468. https://doi.org/10.1111/j.1468-0386.2007.00378.x</w:t>
      </w:r>
    </w:p>
    <w:p w14:paraId="7C00C86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Broekema, W. (2016). Crisis-Induced Learning and Issue Politicization in the Eu: The </w:t>
      </w:r>
      <w:proofErr w:type="spellStart"/>
      <w:r w:rsidRPr="00CF1465">
        <w:rPr>
          <w:rFonts w:ascii="Times New Roman" w:eastAsia="Times New Roman" w:hAnsi="Times New Roman" w:cs="Times New Roman"/>
          <w:lang w:val="en-GB" w:eastAsia="en-GB"/>
        </w:rPr>
        <w:t>Braer</w:t>
      </w:r>
      <w:proofErr w:type="spellEnd"/>
      <w:r w:rsidRPr="00CF1465">
        <w:rPr>
          <w:rFonts w:ascii="Times New Roman" w:eastAsia="Times New Roman" w:hAnsi="Times New Roman" w:cs="Times New Roman"/>
          <w:lang w:val="en-GB" w:eastAsia="en-GB"/>
        </w:rPr>
        <w:t xml:space="preserve">, Sea Empress, Erika, and Prestige Oil Spill Disasters. </w:t>
      </w:r>
      <w:r w:rsidRPr="00CF1465">
        <w:rPr>
          <w:rFonts w:ascii="Times New Roman" w:eastAsia="Times New Roman" w:hAnsi="Times New Roman" w:cs="Times New Roman"/>
          <w:i/>
          <w:iCs/>
          <w:lang w:val="en-GB" w:eastAsia="en-GB"/>
        </w:rPr>
        <w:t>Public Administration</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94</w:t>
      </w:r>
      <w:r w:rsidRPr="00CF1465">
        <w:rPr>
          <w:rFonts w:ascii="Times New Roman" w:eastAsia="Times New Roman" w:hAnsi="Times New Roman" w:cs="Times New Roman"/>
          <w:lang w:val="en-GB" w:eastAsia="en-GB"/>
        </w:rPr>
        <w:t>(2), 381-398. https://doi.org/10.1111/padm.12170</w:t>
      </w:r>
    </w:p>
    <w:p w14:paraId="45162DE7"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Bursens, P., Popelier, P., &amp; Meier, P. (2021). Belgium’s response to COVID-19: How to manage a pandemic in a competitive federal system? In R. Chattopadhyay (Red.), </w:t>
      </w:r>
      <w:r w:rsidRPr="00CF1465">
        <w:rPr>
          <w:rFonts w:ascii="Times New Roman" w:eastAsia="Times New Roman" w:hAnsi="Times New Roman" w:cs="Times New Roman"/>
          <w:i/>
          <w:iCs/>
          <w:lang w:val="en-GB" w:eastAsia="en-GB"/>
        </w:rPr>
        <w:t>Federalism and the Response to COVID-19: A Comparative Analysis</w:t>
      </w:r>
      <w:r w:rsidRPr="00CF1465">
        <w:rPr>
          <w:rFonts w:ascii="Times New Roman" w:eastAsia="Times New Roman" w:hAnsi="Times New Roman" w:cs="Times New Roman"/>
          <w:lang w:val="en-GB" w:eastAsia="en-GB"/>
        </w:rPr>
        <w:t xml:space="preserve"> (pp. 39-48). Routledge. https://library.oapen.org/bitstream/handle/20.500.12657/51423/9781000516258.pdf?sequence=1#page=64</w:t>
      </w:r>
    </w:p>
    <w:p w14:paraId="7EEBE03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Carroll, B. J., Brummel, L., Toshkov, D., &amp; Yesilkagit, K. (2025). Multilevel governance and responses to the COVID-19 pandemic: A systematic literature review. </w:t>
      </w:r>
      <w:r w:rsidRPr="00CF1465">
        <w:rPr>
          <w:rFonts w:ascii="Times New Roman" w:eastAsia="Times New Roman" w:hAnsi="Times New Roman" w:cs="Times New Roman"/>
          <w:i/>
          <w:iCs/>
          <w:lang w:val="en-GB" w:eastAsia="en-GB"/>
        </w:rPr>
        <w:t>Regional &amp; Federal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35</w:t>
      </w:r>
      <w:r w:rsidRPr="00CF1465">
        <w:rPr>
          <w:rFonts w:ascii="Times New Roman" w:eastAsia="Times New Roman" w:hAnsi="Times New Roman" w:cs="Times New Roman"/>
          <w:lang w:val="en-GB" w:eastAsia="en-GB"/>
        </w:rPr>
        <w:t>(2), 305-326. https://doi.org/10.1080/13597566.2023.2292997</w:t>
      </w:r>
    </w:p>
    <w:p w14:paraId="3A049982" w14:textId="77777777" w:rsidR="00CC5602" w:rsidRPr="00CF1465" w:rsidRDefault="00CC5602" w:rsidP="00CC5602">
      <w:pPr>
        <w:spacing w:after="0" w:line="480" w:lineRule="auto"/>
        <w:ind w:left="720" w:hanging="720"/>
        <w:rPr>
          <w:rFonts w:ascii="Times New Roman" w:eastAsia="Times New Roman" w:hAnsi="Times New Roman" w:cs="Times New Roman"/>
          <w:lang w:val="fr-FR" w:eastAsia="en-GB"/>
        </w:rPr>
      </w:pPr>
      <w:r w:rsidRPr="00CF1465">
        <w:rPr>
          <w:rFonts w:ascii="Times New Roman" w:eastAsia="Times New Roman" w:hAnsi="Times New Roman" w:cs="Times New Roman"/>
          <w:lang w:val="en-GB" w:eastAsia="en-GB"/>
        </w:rPr>
        <w:t xml:space="preserve">Christensen, T., &amp; Lægreid, P. (2020). The coronavirus crisis—Crisis communication, meaning-making, and reputation management. </w:t>
      </w:r>
      <w:r w:rsidRPr="00CF1465">
        <w:rPr>
          <w:rFonts w:ascii="Times New Roman" w:eastAsia="Times New Roman" w:hAnsi="Times New Roman" w:cs="Times New Roman"/>
          <w:i/>
          <w:iCs/>
          <w:lang w:val="fr-FR" w:eastAsia="en-GB"/>
        </w:rPr>
        <w:t>International Public Management Journal</w:t>
      </w:r>
      <w:r w:rsidRPr="00CF1465">
        <w:rPr>
          <w:rFonts w:ascii="Times New Roman" w:eastAsia="Times New Roman" w:hAnsi="Times New Roman" w:cs="Times New Roman"/>
          <w:lang w:val="fr-FR" w:eastAsia="en-GB"/>
        </w:rPr>
        <w:t xml:space="preserve">, </w:t>
      </w:r>
      <w:r w:rsidRPr="00CF1465">
        <w:rPr>
          <w:rFonts w:ascii="Times New Roman" w:eastAsia="Times New Roman" w:hAnsi="Times New Roman" w:cs="Times New Roman"/>
          <w:i/>
          <w:iCs/>
          <w:lang w:val="fr-FR" w:eastAsia="en-GB"/>
        </w:rPr>
        <w:t>23</w:t>
      </w:r>
      <w:r w:rsidRPr="00CF1465">
        <w:rPr>
          <w:rFonts w:ascii="Times New Roman" w:eastAsia="Times New Roman" w:hAnsi="Times New Roman" w:cs="Times New Roman"/>
          <w:lang w:val="fr-FR" w:eastAsia="en-GB"/>
        </w:rPr>
        <w:t>(5), 713-729. https://doi.org/10.1080/10967494.2020.1812455</w:t>
      </w:r>
    </w:p>
    <w:p w14:paraId="5D81E4AB"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fr-FR" w:eastAsia="en-GB"/>
        </w:rPr>
        <w:lastRenderedPageBreak/>
        <w:t xml:space="preserve">Christensen, T., </w:t>
      </w:r>
      <w:proofErr w:type="spellStart"/>
      <w:r w:rsidRPr="00CF1465">
        <w:rPr>
          <w:rFonts w:ascii="Times New Roman" w:eastAsia="Times New Roman" w:hAnsi="Times New Roman" w:cs="Times New Roman"/>
          <w:lang w:val="fr-FR" w:eastAsia="en-GB"/>
        </w:rPr>
        <w:t>Lægreid</w:t>
      </w:r>
      <w:proofErr w:type="spellEnd"/>
      <w:r w:rsidRPr="00CF1465">
        <w:rPr>
          <w:rFonts w:ascii="Times New Roman" w:eastAsia="Times New Roman" w:hAnsi="Times New Roman" w:cs="Times New Roman"/>
          <w:lang w:val="fr-FR" w:eastAsia="en-GB"/>
        </w:rPr>
        <w:t xml:space="preserve">, P., &amp; Rykkja, L. H. (2016). </w:t>
      </w:r>
      <w:r w:rsidRPr="00CF1465">
        <w:rPr>
          <w:rFonts w:ascii="Times New Roman" w:eastAsia="Times New Roman" w:hAnsi="Times New Roman" w:cs="Times New Roman"/>
          <w:lang w:val="en-GB" w:eastAsia="en-GB"/>
        </w:rPr>
        <w:t xml:space="preserve">Organizing for Crisis Management: Building Governance Capacity and Legitimacy.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76</w:t>
      </w:r>
      <w:r w:rsidRPr="00CF1465">
        <w:rPr>
          <w:rFonts w:ascii="Times New Roman" w:eastAsia="Times New Roman" w:hAnsi="Times New Roman" w:cs="Times New Roman"/>
          <w:lang w:val="en-GB" w:eastAsia="en-GB"/>
        </w:rPr>
        <w:t>(6), 887-897. https://doi.org/10.1111/puar.12558</w:t>
      </w:r>
    </w:p>
    <w:p w14:paraId="5B2E6928"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Comfort, L. K. (Red.). (1988). </w:t>
      </w:r>
      <w:r w:rsidRPr="00CF1465">
        <w:rPr>
          <w:rFonts w:ascii="Times New Roman" w:eastAsia="Times New Roman" w:hAnsi="Times New Roman" w:cs="Times New Roman"/>
          <w:i/>
          <w:iCs/>
          <w:lang w:val="en-GB" w:eastAsia="en-GB"/>
        </w:rPr>
        <w:t>Managing Disaster: Strategies and Policy Perspectives</w:t>
      </w:r>
      <w:r w:rsidRPr="00CF1465">
        <w:rPr>
          <w:rFonts w:ascii="Times New Roman" w:eastAsia="Times New Roman" w:hAnsi="Times New Roman" w:cs="Times New Roman"/>
          <w:lang w:val="en-GB" w:eastAsia="en-GB"/>
        </w:rPr>
        <w:t>. Duke University Press Books.</w:t>
      </w:r>
    </w:p>
    <w:p w14:paraId="1E85191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Comfort, L. K. (2007). Crisis Management in Hindsight: Cognition, Communication, Coordination, and Control.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67</w:t>
      </w:r>
      <w:r w:rsidRPr="00CF1465">
        <w:rPr>
          <w:rFonts w:ascii="Times New Roman" w:eastAsia="Times New Roman" w:hAnsi="Times New Roman" w:cs="Times New Roman"/>
          <w:lang w:val="en-GB" w:eastAsia="en-GB"/>
        </w:rPr>
        <w:t>(s1), 189-197. https://doi.org/10.1111/j.1540-6210.2007.00827.x</w:t>
      </w:r>
    </w:p>
    <w:p w14:paraId="73208755" w14:textId="77777777" w:rsidR="00CC5602" w:rsidRPr="00CF1465" w:rsidRDefault="00CC5602" w:rsidP="00CC5602">
      <w:pPr>
        <w:spacing w:after="0" w:line="480" w:lineRule="auto"/>
        <w:ind w:left="720" w:hanging="720"/>
        <w:rPr>
          <w:rFonts w:ascii="Times New Roman" w:eastAsia="Times New Roman" w:hAnsi="Times New Roman" w:cs="Times New Roman"/>
          <w:lang w:val="it-IT" w:eastAsia="en-GB"/>
        </w:rPr>
      </w:pPr>
      <w:r w:rsidRPr="00CF1465">
        <w:rPr>
          <w:rFonts w:ascii="Times New Roman" w:eastAsia="Times New Roman" w:hAnsi="Times New Roman" w:cs="Times New Roman"/>
          <w:lang w:val="en-GB" w:eastAsia="en-GB"/>
        </w:rPr>
        <w:t xml:space="preserve">Comfort, L. K., Boin, A., &amp; Demchak, C. C. (2010). </w:t>
      </w:r>
      <w:r w:rsidRPr="00CF1465">
        <w:rPr>
          <w:rFonts w:ascii="Times New Roman" w:eastAsia="Times New Roman" w:hAnsi="Times New Roman" w:cs="Times New Roman"/>
          <w:i/>
          <w:iCs/>
          <w:lang w:val="en-GB" w:eastAsia="en-GB"/>
        </w:rPr>
        <w:t>Designing Resilience: Preparing for Extreme Events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lang w:val="it-IT" w:eastAsia="en-GB"/>
        </w:rPr>
        <w:t xml:space="preserve">University of Pittsburgh </w:t>
      </w:r>
      <w:proofErr w:type="spellStart"/>
      <w:r w:rsidRPr="00CF1465">
        <w:rPr>
          <w:rFonts w:ascii="Times New Roman" w:eastAsia="Times New Roman" w:hAnsi="Times New Roman" w:cs="Times New Roman"/>
          <w:lang w:val="it-IT" w:eastAsia="en-GB"/>
        </w:rPr>
        <w:t>Pre</w:t>
      </w:r>
      <w:proofErr w:type="spellEnd"/>
      <w:r w:rsidRPr="00CF1465">
        <w:rPr>
          <w:rFonts w:ascii="Times New Roman" w:eastAsia="Times New Roman" w:hAnsi="Times New Roman" w:cs="Times New Roman"/>
          <w:lang w:val="it-IT" w:eastAsia="en-GB"/>
        </w:rPr>
        <w:t>.</w:t>
      </w:r>
    </w:p>
    <w:p w14:paraId="41F4AB02"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it-IT" w:eastAsia="en-GB"/>
        </w:rPr>
        <w:t xml:space="preserve">Comfort, L. K., </w:t>
      </w:r>
      <w:proofErr w:type="spellStart"/>
      <w:r w:rsidRPr="00CF1465">
        <w:rPr>
          <w:rFonts w:ascii="Times New Roman" w:eastAsia="Times New Roman" w:hAnsi="Times New Roman" w:cs="Times New Roman"/>
          <w:lang w:val="it-IT" w:eastAsia="en-GB"/>
        </w:rPr>
        <w:t>Kapucu</w:t>
      </w:r>
      <w:proofErr w:type="spellEnd"/>
      <w:r w:rsidRPr="00CF1465">
        <w:rPr>
          <w:rFonts w:ascii="Times New Roman" w:eastAsia="Times New Roman" w:hAnsi="Times New Roman" w:cs="Times New Roman"/>
          <w:lang w:val="it-IT" w:eastAsia="en-GB"/>
        </w:rPr>
        <w:t xml:space="preserve">, N., Ko, K., Menoni, S., &amp; Siciliano, M. (2020). </w:t>
      </w:r>
      <w:r w:rsidRPr="00CF1465">
        <w:rPr>
          <w:rFonts w:ascii="Times New Roman" w:eastAsia="Times New Roman" w:hAnsi="Times New Roman" w:cs="Times New Roman"/>
          <w:lang w:val="en-GB" w:eastAsia="en-GB"/>
        </w:rPr>
        <w:t xml:space="preserve">Crisis Decision‐Making on a Global Scale: Transition from Cognition to Collective Action under Threat of COVID‐19.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80</w:t>
      </w:r>
      <w:r w:rsidRPr="00CF1465">
        <w:rPr>
          <w:rFonts w:ascii="Times New Roman" w:eastAsia="Times New Roman" w:hAnsi="Times New Roman" w:cs="Times New Roman"/>
          <w:lang w:val="en-GB" w:eastAsia="en-GB"/>
        </w:rPr>
        <w:t>(4), 616-622. https://doi.org/10.1111/puar.13252</w:t>
      </w:r>
    </w:p>
    <w:p w14:paraId="6251518D"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Deverell, E. (2009). Crises as Learning Triggers: Exploring a Conceptual Framework of Crisis-Induced Learning.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17</w:t>
      </w:r>
      <w:r w:rsidRPr="00CF1465">
        <w:rPr>
          <w:rFonts w:ascii="Times New Roman" w:eastAsia="Times New Roman" w:hAnsi="Times New Roman" w:cs="Times New Roman"/>
          <w:lang w:val="en-GB" w:eastAsia="en-GB"/>
        </w:rPr>
        <w:t>(3), 179-188. https://doi.org/10.1111/j.1468-5973.2009.00578.x</w:t>
      </w:r>
    </w:p>
    <w:p w14:paraId="64B288A7"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de-DE" w:eastAsia="en-GB"/>
        </w:rPr>
        <w:t>Drennan</w:t>
      </w:r>
      <w:proofErr w:type="spellEnd"/>
      <w:r w:rsidRPr="00CF1465">
        <w:rPr>
          <w:rFonts w:ascii="Times New Roman" w:eastAsia="Times New Roman" w:hAnsi="Times New Roman" w:cs="Times New Roman"/>
          <w:lang w:val="de-DE" w:eastAsia="en-GB"/>
        </w:rPr>
        <w:t xml:space="preserve">, L. T., McConnell, A., &amp; Stark, A. (2014). </w:t>
      </w:r>
      <w:r w:rsidRPr="00CF1465">
        <w:rPr>
          <w:rFonts w:ascii="Times New Roman" w:eastAsia="Times New Roman" w:hAnsi="Times New Roman" w:cs="Times New Roman"/>
          <w:i/>
          <w:iCs/>
          <w:lang w:val="en-GB" w:eastAsia="en-GB"/>
        </w:rPr>
        <w:t>Risk and Crisis Management in the Public Sector</w:t>
      </w:r>
      <w:r w:rsidRPr="00CF1465">
        <w:rPr>
          <w:rFonts w:ascii="Times New Roman" w:eastAsia="Times New Roman" w:hAnsi="Times New Roman" w:cs="Times New Roman"/>
          <w:lang w:val="en-GB" w:eastAsia="en-GB"/>
        </w:rPr>
        <w:t>. Routledge.</w:t>
      </w:r>
    </w:p>
    <w:p w14:paraId="3031673B"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Duch, R. M., Loewen, P., Robinson, T. S., &amp; Zakharov, A. (2025). Governing in the face of a global crisis: When do voters punish and reward incumbent governments? </w:t>
      </w:r>
      <w:r w:rsidRPr="00CF1465">
        <w:rPr>
          <w:rFonts w:ascii="Times New Roman" w:eastAsia="Times New Roman" w:hAnsi="Times New Roman" w:cs="Times New Roman"/>
          <w:i/>
          <w:iCs/>
          <w:lang w:val="en-GB" w:eastAsia="en-GB"/>
        </w:rPr>
        <w:t>Proceedings of the National Academy of Sciences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122</w:t>
      </w:r>
      <w:r w:rsidRPr="00CF1465">
        <w:rPr>
          <w:rFonts w:ascii="Times New Roman" w:eastAsia="Times New Roman" w:hAnsi="Times New Roman" w:cs="Times New Roman"/>
          <w:lang w:val="en-GB" w:eastAsia="en-GB"/>
        </w:rPr>
        <w:t>(4), e2405021122. https://doi.org/10.1073/pnas.2405021122</w:t>
      </w:r>
    </w:p>
    <w:p w14:paraId="7251FFD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Farazmand</w:t>
      </w:r>
      <w:proofErr w:type="spellEnd"/>
      <w:r w:rsidRPr="00CF1465">
        <w:rPr>
          <w:rFonts w:ascii="Times New Roman" w:eastAsia="Times New Roman" w:hAnsi="Times New Roman" w:cs="Times New Roman"/>
          <w:lang w:val="en-GB" w:eastAsia="en-GB"/>
        </w:rPr>
        <w:t xml:space="preserve">, A. (2001). </w:t>
      </w:r>
      <w:r w:rsidRPr="00CF1465">
        <w:rPr>
          <w:rFonts w:ascii="Times New Roman" w:eastAsia="Times New Roman" w:hAnsi="Times New Roman" w:cs="Times New Roman"/>
          <w:i/>
          <w:iCs/>
          <w:lang w:val="en-GB" w:eastAsia="en-GB"/>
        </w:rPr>
        <w:t>Handbook of Crisis and Emergency Management</w:t>
      </w:r>
      <w:r w:rsidRPr="00CF1465">
        <w:rPr>
          <w:rFonts w:ascii="Times New Roman" w:eastAsia="Times New Roman" w:hAnsi="Times New Roman" w:cs="Times New Roman"/>
          <w:lang w:val="en-GB" w:eastAsia="en-GB"/>
        </w:rPr>
        <w:t>. CRC Press.</w:t>
      </w:r>
    </w:p>
    <w:p w14:paraId="4ED20C1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Gearty, C. (2013). </w:t>
      </w:r>
      <w:r w:rsidRPr="00CF1465">
        <w:rPr>
          <w:rFonts w:ascii="Times New Roman" w:eastAsia="Times New Roman" w:hAnsi="Times New Roman" w:cs="Times New Roman"/>
          <w:i/>
          <w:iCs/>
          <w:lang w:val="en-GB" w:eastAsia="en-GB"/>
        </w:rPr>
        <w:t>Liberty and Security</w:t>
      </w:r>
      <w:r w:rsidRPr="00CF1465">
        <w:rPr>
          <w:rFonts w:ascii="Times New Roman" w:eastAsia="Times New Roman" w:hAnsi="Times New Roman" w:cs="Times New Roman"/>
          <w:lang w:val="en-GB" w:eastAsia="en-GB"/>
        </w:rPr>
        <w:t>. John Wiley &amp; Sons.</w:t>
      </w:r>
    </w:p>
    <w:p w14:paraId="6B27A95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de-DE" w:eastAsia="en-GB"/>
        </w:rPr>
        <w:lastRenderedPageBreak/>
        <w:t>Genschel</w:t>
      </w:r>
      <w:proofErr w:type="spellEnd"/>
      <w:r w:rsidRPr="00CF1465">
        <w:rPr>
          <w:rFonts w:ascii="Times New Roman" w:eastAsia="Times New Roman" w:hAnsi="Times New Roman" w:cs="Times New Roman"/>
          <w:lang w:val="de-DE" w:eastAsia="en-GB"/>
        </w:rPr>
        <w:t xml:space="preserve">, P., &amp; and </w:t>
      </w:r>
      <w:proofErr w:type="spellStart"/>
      <w:r w:rsidRPr="00CF1465">
        <w:rPr>
          <w:rFonts w:ascii="Times New Roman" w:eastAsia="Times New Roman" w:hAnsi="Times New Roman" w:cs="Times New Roman"/>
          <w:lang w:val="de-DE" w:eastAsia="en-GB"/>
        </w:rPr>
        <w:t>Jachtenfuchs</w:t>
      </w:r>
      <w:proofErr w:type="spellEnd"/>
      <w:r w:rsidRPr="00CF1465">
        <w:rPr>
          <w:rFonts w:ascii="Times New Roman" w:eastAsia="Times New Roman" w:hAnsi="Times New Roman" w:cs="Times New Roman"/>
          <w:lang w:val="de-DE" w:eastAsia="en-GB"/>
        </w:rPr>
        <w:t xml:space="preserve">, M. (2021). </w:t>
      </w:r>
      <w:proofErr w:type="spellStart"/>
      <w:r w:rsidRPr="00CF1465">
        <w:rPr>
          <w:rFonts w:ascii="Times New Roman" w:eastAsia="Times New Roman" w:hAnsi="Times New Roman" w:cs="Times New Roman"/>
          <w:lang w:val="en-GB" w:eastAsia="en-GB"/>
        </w:rPr>
        <w:t>Postfunctionalism</w:t>
      </w:r>
      <w:proofErr w:type="spellEnd"/>
      <w:r w:rsidRPr="00CF1465">
        <w:rPr>
          <w:rFonts w:ascii="Times New Roman" w:eastAsia="Times New Roman" w:hAnsi="Times New Roman" w:cs="Times New Roman"/>
          <w:lang w:val="en-GB" w:eastAsia="en-GB"/>
        </w:rPr>
        <w:t xml:space="preserve"> reversed: Solidarity and </w:t>
      </w:r>
      <w:proofErr w:type="spellStart"/>
      <w:r w:rsidRPr="00CF1465">
        <w:rPr>
          <w:rFonts w:ascii="Times New Roman" w:eastAsia="Times New Roman" w:hAnsi="Times New Roman" w:cs="Times New Roman"/>
          <w:lang w:val="en-GB" w:eastAsia="en-GB"/>
        </w:rPr>
        <w:t>rebordering</w:t>
      </w:r>
      <w:proofErr w:type="spellEnd"/>
      <w:r w:rsidRPr="00CF1465">
        <w:rPr>
          <w:rFonts w:ascii="Times New Roman" w:eastAsia="Times New Roman" w:hAnsi="Times New Roman" w:cs="Times New Roman"/>
          <w:lang w:val="en-GB" w:eastAsia="en-GB"/>
        </w:rPr>
        <w:t xml:space="preserve"> during the COVID-19 pandemic.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28</w:t>
      </w:r>
      <w:r w:rsidRPr="00CF1465">
        <w:rPr>
          <w:rFonts w:ascii="Times New Roman" w:eastAsia="Times New Roman" w:hAnsi="Times New Roman" w:cs="Times New Roman"/>
          <w:lang w:val="en-GB" w:eastAsia="en-GB"/>
        </w:rPr>
        <w:t>(3), 350-369. https://doi.org/10.1080/13501763.2021.1881588</w:t>
      </w:r>
    </w:p>
    <w:p w14:paraId="6B989BFD"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Goetz, K. H., &amp; Martinsen, D. S. (2021). COVID-19: A dual challenge to European liberal democracy. </w:t>
      </w:r>
      <w:r w:rsidRPr="00CF1465">
        <w:rPr>
          <w:rFonts w:ascii="Times New Roman" w:eastAsia="Times New Roman" w:hAnsi="Times New Roman" w:cs="Times New Roman"/>
          <w:i/>
          <w:iCs/>
          <w:lang w:val="en-GB" w:eastAsia="en-GB"/>
        </w:rPr>
        <w:t>West European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44</w:t>
      </w:r>
      <w:r w:rsidRPr="00CF1465">
        <w:rPr>
          <w:rFonts w:ascii="Times New Roman" w:eastAsia="Times New Roman" w:hAnsi="Times New Roman" w:cs="Times New Roman"/>
          <w:lang w:val="en-GB" w:eastAsia="en-GB"/>
        </w:rPr>
        <w:t>(5-6), 1003-1024. https://doi.org/10.1080/01402382.2021.1930463</w:t>
      </w:r>
    </w:p>
    <w:p w14:paraId="58A51F0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Graf, F., Lenz ,Alexa, &amp; and Eckhard, S. (2024). Ready, set, crisis – transitioning to crisis mode in local public administration. </w:t>
      </w:r>
      <w:r w:rsidRPr="00CF1465">
        <w:rPr>
          <w:rFonts w:ascii="Times New Roman" w:eastAsia="Times New Roman" w:hAnsi="Times New Roman" w:cs="Times New Roman"/>
          <w:i/>
          <w:iCs/>
          <w:lang w:val="en-GB" w:eastAsia="en-GB"/>
        </w:rPr>
        <w:t>Public Management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26</w:t>
      </w:r>
      <w:r w:rsidRPr="00CF1465">
        <w:rPr>
          <w:rFonts w:ascii="Times New Roman" w:eastAsia="Times New Roman" w:hAnsi="Times New Roman" w:cs="Times New Roman"/>
          <w:lang w:val="en-GB" w:eastAsia="en-GB"/>
        </w:rPr>
        <w:t>(7), 2039-2063. https://doi.org/10.1080/14719037.2023.2242851</w:t>
      </w:r>
    </w:p>
    <w:p w14:paraId="51A48C4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Greussing</w:t>
      </w:r>
      <w:proofErr w:type="spellEnd"/>
      <w:r w:rsidRPr="00CF1465">
        <w:rPr>
          <w:rFonts w:ascii="Times New Roman" w:eastAsia="Times New Roman" w:hAnsi="Times New Roman" w:cs="Times New Roman"/>
          <w:lang w:val="en-GB" w:eastAsia="en-GB"/>
        </w:rPr>
        <w:t xml:space="preserve">, E., &amp; Boomgaarden, H. G. (2017). Shifting the refugee narrative? An automated frame analysis of Europe’s 2015 refugee crisis. </w:t>
      </w:r>
      <w:r w:rsidRPr="00CF1465">
        <w:rPr>
          <w:rFonts w:ascii="Times New Roman" w:eastAsia="Times New Roman" w:hAnsi="Times New Roman" w:cs="Times New Roman"/>
          <w:i/>
          <w:iCs/>
          <w:lang w:val="en-GB" w:eastAsia="en-GB"/>
        </w:rPr>
        <w:t>Journal of Ethnic and Migration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43</w:t>
      </w:r>
      <w:r w:rsidRPr="00CF1465">
        <w:rPr>
          <w:rFonts w:ascii="Times New Roman" w:eastAsia="Times New Roman" w:hAnsi="Times New Roman" w:cs="Times New Roman"/>
          <w:lang w:val="en-GB" w:eastAsia="en-GB"/>
        </w:rPr>
        <w:t>(11), 1749-1774. https://doi.org/10.1080/1369183X.2017.1282813</w:t>
      </w:r>
    </w:p>
    <w:p w14:paraId="30A6BB91"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Gundel, S. (2005). Towards a New Typology of Crises.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13</w:t>
      </w:r>
      <w:r w:rsidRPr="00CF1465">
        <w:rPr>
          <w:rFonts w:ascii="Times New Roman" w:eastAsia="Times New Roman" w:hAnsi="Times New Roman" w:cs="Times New Roman"/>
          <w:lang w:val="en-GB" w:eastAsia="en-GB"/>
        </w:rPr>
        <w:t>(3), 106-115. https://doi.org/10.1111/j.1468-5973.2005.00465.x</w:t>
      </w:r>
    </w:p>
    <w:p w14:paraId="07766480" w14:textId="77777777" w:rsidR="00CC5602" w:rsidRPr="00CF1465" w:rsidRDefault="00CC5602" w:rsidP="00CC5602">
      <w:pPr>
        <w:spacing w:after="0" w:line="480" w:lineRule="auto"/>
        <w:ind w:left="720" w:hanging="720"/>
        <w:rPr>
          <w:rFonts w:ascii="Times New Roman" w:eastAsia="Times New Roman" w:hAnsi="Times New Roman" w:cs="Times New Roman"/>
          <w:lang w:val="de-DE" w:eastAsia="en-GB"/>
        </w:rPr>
      </w:pPr>
      <w:r w:rsidRPr="00CF1465">
        <w:rPr>
          <w:rFonts w:ascii="Times New Roman" w:eastAsia="Times New Roman" w:hAnsi="Times New Roman" w:cs="Times New Roman"/>
          <w:lang w:val="de-DE" w:eastAsia="en-GB"/>
        </w:rPr>
        <w:t xml:space="preserve">Hagen, K., Lehmann, T., &amp; Rosenfelder, L. (2021, </w:t>
      </w:r>
      <w:proofErr w:type="spellStart"/>
      <w:r w:rsidRPr="00CF1465">
        <w:rPr>
          <w:rFonts w:ascii="Times New Roman" w:eastAsia="Times New Roman" w:hAnsi="Times New Roman" w:cs="Times New Roman"/>
          <w:lang w:val="de-DE" w:eastAsia="en-GB"/>
        </w:rPr>
        <w:t>januari</w:t>
      </w:r>
      <w:proofErr w:type="spellEnd"/>
      <w:r w:rsidRPr="00CF1465">
        <w:rPr>
          <w:rFonts w:ascii="Times New Roman" w:eastAsia="Times New Roman" w:hAnsi="Times New Roman" w:cs="Times New Roman"/>
          <w:lang w:val="de-DE" w:eastAsia="en-GB"/>
        </w:rPr>
        <w:t xml:space="preserve"> 12). (S+) Bodo Ramelows Corona-Kehrtwende: Der Söder des Ostens. </w:t>
      </w:r>
      <w:r w:rsidRPr="00CF1465">
        <w:rPr>
          <w:rFonts w:ascii="Times New Roman" w:eastAsia="Times New Roman" w:hAnsi="Times New Roman" w:cs="Times New Roman"/>
          <w:i/>
          <w:iCs/>
          <w:lang w:val="de-DE" w:eastAsia="en-GB"/>
        </w:rPr>
        <w:t>Der Spiegel</w:t>
      </w:r>
      <w:r w:rsidRPr="00CF1465">
        <w:rPr>
          <w:rFonts w:ascii="Times New Roman" w:eastAsia="Times New Roman" w:hAnsi="Times New Roman" w:cs="Times New Roman"/>
          <w:lang w:val="de-DE" w:eastAsia="en-GB"/>
        </w:rPr>
        <w:t>. https://www.spiegel.de/politik/deutschland/bodo-ramelow-ist-ploetzlich-der-soeder-des-ostens-a-e4f9ce0b-aa37-472e-b94d-df16e9e78e49</w:t>
      </w:r>
    </w:p>
    <w:p w14:paraId="63FA262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Hegele, Y., &amp; Schnabel, J. (2021). Federalism and the management of the COVID-19 crisis: Centralisation, decentralisation and (non-)coordination. </w:t>
      </w:r>
      <w:r w:rsidRPr="00CF1465">
        <w:rPr>
          <w:rFonts w:ascii="Times New Roman" w:eastAsia="Times New Roman" w:hAnsi="Times New Roman" w:cs="Times New Roman"/>
          <w:i/>
          <w:iCs/>
          <w:lang w:val="en-GB" w:eastAsia="en-GB"/>
        </w:rPr>
        <w:t>West European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44</w:t>
      </w:r>
      <w:r w:rsidRPr="00CF1465">
        <w:rPr>
          <w:rFonts w:ascii="Times New Roman" w:eastAsia="Times New Roman" w:hAnsi="Times New Roman" w:cs="Times New Roman"/>
          <w:lang w:val="en-GB" w:eastAsia="en-GB"/>
        </w:rPr>
        <w:t>(5-6), 1052-1076. https://doi.org/10.1080/01402382.2021.1873529</w:t>
      </w:r>
    </w:p>
    <w:p w14:paraId="0E9704C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Hinterleitner, M., Honegger, C., &amp; Sager, F. (2022). Blame avoidance in hard times: Complex governance structures and the COVID-19 pandemic. </w:t>
      </w:r>
      <w:r w:rsidRPr="00CF1465">
        <w:rPr>
          <w:rFonts w:ascii="Times New Roman" w:eastAsia="Times New Roman" w:hAnsi="Times New Roman" w:cs="Times New Roman"/>
          <w:i/>
          <w:iCs/>
          <w:lang w:val="en-GB" w:eastAsia="en-GB"/>
        </w:rPr>
        <w:t>West European Politics</w:t>
      </w:r>
      <w:r w:rsidRPr="00CF1465">
        <w:rPr>
          <w:rFonts w:ascii="Times New Roman" w:eastAsia="Times New Roman" w:hAnsi="Times New Roman" w:cs="Times New Roman"/>
          <w:lang w:val="en-GB" w:eastAsia="en-GB"/>
        </w:rPr>
        <w:t>. https://www.tandfonline.com/doi/abs/10.1080/01402382.2022.2064634</w:t>
      </w:r>
    </w:p>
    <w:p w14:paraId="529F393B"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Hooghe</w:t>
      </w:r>
      <w:proofErr w:type="spellEnd"/>
      <w:r w:rsidRPr="00CF1465">
        <w:rPr>
          <w:rFonts w:ascii="Times New Roman" w:eastAsia="Times New Roman" w:hAnsi="Times New Roman" w:cs="Times New Roman"/>
          <w:lang w:val="en-GB" w:eastAsia="en-GB"/>
        </w:rPr>
        <w:t xml:space="preserve">, L., &amp; Marks, G. (2003). </w:t>
      </w:r>
      <w:proofErr w:type="spellStart"/>
      <w:r w:rsidRPr="00CF1465">
        <w:rPr>
          <w:rFonts w:ascii="Times New Roman" w:eastAsia="Times New Roman" w:hAnsi="Times New Roman" w:cs="Times New Roman"/>
          <w:lang w:val="en-GB" w:eastAsia="en-GB"/>
        </w:rPr>
        <w:t>Unraveling</w:t>
      </w:r>
      <w:proofErr w:type="spellEnd"/>
      <w:r w:rsidRPr="00CF1465">
        <w:rPr>
          <w:rFonts w:ascii="Times New Roman" w:eastAsia="Times New Roman" w:hAnsi="Times New Roman" w:cs="Times New Roman"/>
          <w:lang w:val="en-GB" w:eastAsia="en-GB"/>
        </w:rPr>
        <w:t xml:space="preserve"> the Central State, but How? Types of Multi-level Governance. </w:t>
      </w:r>
      <w:r w:rsidRPr="00CF1465">
        <w:rPr>
          <w:rFonts w:ascii="Times New Roman" w:eastAsia="Times New Roman" w:hAnsi="Times New Roman" w:cs="Times New Roman"/>
          <w:i/>
          <w:iCs/>
          <w:lang w:val="en-GB" w:eastAsia="en-GB"/>
        </w:rPr>
        <w:t>American Political Science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97</w:t>
      </w:r>
      <w:r w:rsidRPr="00CF1465">
        <w:rPr>
          <w:rFonts w:ascii="Times New Roman" w:eastAsia="Times New Roman" w:hAnsi="Times New Roman" w:cs="Times New Roman"/>
          <w:lang w:val="en-GB" w:eastAsia="en-GB"/>
        </w:rPr>
        <w:t>(2), 233-243. https://doi.org/10.1017/S0003055403000649</w:t>
      </w:r>
    </w:p>
    <w:p w14:paraId="41637EB3"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Jugl, M. (2023). Administrative characteristics and timing of governments’ crisis responses: A global study of early reactions to COVID-19. </w:t>
      </w:r>
      <w:r w:rsidRPr="00CF1465">
        <w:rPr>
          <w:rFonts w:ascii="Times New Roman" w:eastAsia="Times New Roman" w:hAnsi="Times New Roman" w:cs="Times New Roman"/>
          <w:i/>
          <w:iCs/>
          <w:lang w:val="en-GB" w:eastAsia="en-GB"/>
        </w:rPr>
        <w:t>Public Administration</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101</w:t>
      </w:r>
      <w:r w:rsidRPr="00CF1465">
        <w:rPr>
          <w:rFonts w:ascii="Times New Roman" w:eastAsia="Times New Roman" w:hAnsi="Times New Roman" w:cs="Times New Roman"/>
          <w:lang w:val="en-GB" w:eastAsia="en-GB"/>
        </w:rPr>
        <w:t>(4), 1408-1426. https://doi.org/10.1111/padm.12889</w:t>
      </w:r>
    </w:p>
    <w:p w14:paraId="210072F2"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Kapucu</w:t>
      </w:r>
      <w:proofErr w:type="spellEnd"/>
      <w:r w:rsidRPr="00CF1465">
        <w:rPr>
          <w:rFonts w:ascii="Times New Roman" w:eastAsia="Times New Roman" w:hAnsi="Times New Roman" w:cs="Times New Roman"/>
          <w:lang w:val="en-GB" w:eastAsia="en-GB"/>
        </w:rPr>
        <w:t xml:space="preserve">, N., &amp; Hu, Q. (2022). An Old Puzzle and Unprecedented Challenges: Coordination in Response to the COVID-19 Pandemic in the US. </w:t>
      </w:r>
      <w:r w:rsidRPr="00CF1465">
        <w:rPr>
          <w:rFonts w:ascii="Times New Roman" w:eastAsia="Times New Roman" w:hAnsi="Times New Roman" w:cs="Times New Roman"/>
          <w:i/>
          <w:iCs/>
          <w:lang w:val="en-GB" w:eastAsia="en-GB"/>
        </w:rPr>
        <w:t>Public Performance &amp; Management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45</w:t>
      </w:r>
      <w:r w:rsidRPr="00CF1465">
        <w:rPr>
          <w:rFonts w:ascii="Times New Roman" w:eastAsia="Times New Roman" w:hAnsi="Times New Roman" w:cs="Times New Roman"/>
          <w:lang w:val="en-GB" w:eastAsia="en-GB"/>
        </w:rPr>
        <w:t>(4), 773-798. https://doi.org/10.1080/15309576.2022.2040039</w:t>
      </w:r>
    </w:p>
    <w:p w14:paraId="29466031"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Kreuder-Sonnen, C. (2018). Political secrecy in Europe: Crisis management and crisis exploitation. </w:t>
      </w:r>
      <w:r w:rsidRPr="00CF1465">
        <w:rPr>
          <w:rFonts w:ascii="Times New Roman" w:eastAsia="Times New Roman" w:hAnsi="Times New Roman" w:cs="Times New Roman"/>
          <w:i/>
          <w:iCs/>
          <w:lang w:val="en-GB" w:eastAsia="en-GB"/>
        </w:rPr>
        <w:t>West European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41</w:t>
      </w:r>
      <w:r w:rsidRPr="00CF1465">
        <w:rPr>
          <w:rFonts w:ascii="Times New Roman" w:eastAsia="Times New Roman" w:hAnsi="Times New Roman" w:cs="Times New Roman"/>
          <w:lang w:val="en-GB" w:eastAsia="en-GB"/>
        </w:rPr>
        <w:t>(4), 958-980. https://doi.org/10.1080/01402382.2017.1404813</w:t>
      </w:r>
    </w:p>
    <w:p w14:paraId="0BE50D13"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Kriesi, H., &amp; Oana, I.-E. (2023). Protest in unlikely times: Dynamics of collective mobilization in Europe during the COVID-19 crisis.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30</w:t>
      </w:r>
      <w:r w:rsidRPr="00CF1465">
        <w:rPr>
          <w:rFonts w:ascii="Times New Roman" w:eastAsia="Times New Roman" w:hAnsi="Times New Roman" w:cs="Times New Roman"/>
          <w:lang w:val="en-GB" w:eastAsia="en-GB"/>
        </w:rPr>
        <w:t>(4), 740-765. https://doi.org/10.1080/13501763.2022.2140819</w:t>
      </w:r>
    </w:p>
    <w:p w14:paraId="6D333A23"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Kritzinger, S., Foucault ,Martial, Lachat ,Romain, </w:t>
      </w:r>
      <w:proofErr w:type="spellStart"/>
      <w:r w:rsidRPr="00CF1465">
        <w:rPr>
          <w:rFonts w:ascii="Times New Roman" w:eastAsia="Times New Roman" w:hAnsi="Times New Roman" w:cs="Times New Roman"/>
          <w:lang w:val="en-GB" w:eastAsia="en-GB"/>
        </w:rPr>
        <w:t>Partheymüller</w:t>
      </w:r>
      <w:proofErr w:type="spellEnd"/>
      <w:r w:rsidRPr="00CF1465">
        <w:rPr>
          <w:rFonts w:ascii="Times New Roman" w:eastAsia="Times New Roman" w:hAnsi="Times New Roman" w:cs="Times New Roman"/>
          <w:lang w:val="en-GB" w:eastAsia="en-GB"/>
        </w:rPr>
        <w:t xml:space="preserve"> ,Julia, Plescia ,Carolina, &amp; and Brouard, S. (2021). ‘Rally round the flag’: The COVID-19 crisis and trust in the national government. </w:t>
      </w:r>
      <w:r w:rsidRPr="00CF1465">
        <w:rPr>
          <w:rFonts w:ascii="Times New Roman" w:eastAsia="Times New Roman" w:hAnsi="Times New Roman" w:cs="Times New Roman"/>
          <w:i/>
          <w:iCs/>
          <w:lang w:val="en-GB" w:eastAsia="en-GB"/>
        </w:rPr>
        <w:t>West European Politics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44</w:t>
      </w:r>
      <w:r w:rsidRPr="00CF1465">
        <w:rPr>
          <w:rFonts w:ascii="Times New Roman" w:eastAsia="Times New Roman" w:hAnsi="Times New Roman" w:cs="Times New Roman"/>
          <w:lang w:val="en-GB" w:eastAsia="en-GB"/>
        </w:rPr>
        <w:t>(5-6), 1205-1231. https://doi.org/10.1080/01402382.2021.1925017</w:t>
      </w:r>
    </w:p>
    <w:p w14:paraId="614A3F4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Kuhlmann, S., &amp; Franzke, J. (2022). Multi-level responses to COVID-19: Crisis coordination in Germany from an intergovernmental perspective. </w:t>
      </w:r>
      <w:r w:rsidRPr="00CF1465">
        <w:rPr>
          <w:rFonts w:ascii="Times New Roman" w:eastAsia="Times New Roman" w:hAnsi="Times New Roman" w:cs="Times New Roman"/>
          <w:i/>
          <w:iCs/>
          <w:lang w:val="en-GB" w:eastAsia="en-GB"/>
        </w:rPr>
        <w:t>Local Government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48</w:t>
      </w:r>
      <w:r w:rsidRPr="00CF1465">
        <w:rPr>
          <w:rFonts w:ascii="Times New Roman" w:eastAsia="Times New Roman" w:hAnsi="Times New Roman" w:cs="Times New Roman"/>
          <w:lang w:val="en-GB" w:eastAsia="en-GB"/>
        </w:rPr>
        <w:t>(2), 312-334. https://doi.org/10.1080/03003930.2021.1904398</w:t>
      </w:r>
    </w:p>
    <w:p w14:paraId="786B976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Kuhlmann, S., Franzke, J., &amp; Dumas, B. P. (2022). Technocratic Decision-Making in Times of Crisis? The Use of Data for Scientific Policy Advice in Germany’s COVID-19 Management. </w:t>
      </w:r>
      <w:r w:rsidRPr="00CF1465">
        <w:rPr>
          <w:rFonts w:ascii="Times New Roman" w:eastAsia="Times New Roman" w:hAnsi="Times New Roman" w:cs="Times New Roman"/>
          <w:i/>
          <w:iCs/>
          <w:lang w:val="en-GB" w:eastAsia="en-GB"/>
        </w:rPr>
        <w:t>Public Organization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22</w:t>
      </w:r>
      <w:r w:rsidRPr="00CF1465">
        <w:rPr>
          <w:rFonts w:ascii="Times New Roman" w:eastAsia="Times New Roman" w:hAnsi="Times New Roman" w:cs="Times New Roman"/>
          <w:lang w:val="en-GB" w:eastAsia="en-GB"/>
        </w:rPr>
        <w:t>(2), 269-289. https://doi.org/10.1007/s11115-022-00635-8</w:t>
      </w:r>
    </w:p>
    <w:p w14:paraId="529D601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Kuipers, S., Boin, A., Bossong, R., &amp; Hegemann, H. (2015). Building Joint Crisis Management Capacity? Comparing Civil Security Systems in 22 European Countries. </w:t>
      </w:r>
      <w:r w:rsidRPr="00CF1465">
        <w:rPr>
          <w:rFonts w:ascii="Times New Roman" w:eastAsia="Times New Roman" w:hAnsi="Times New Roman" w:cs="Times New Roman"/>
          <w:i/>
          <w:iCs/>
          <w:lang w:val="en-GB" w:eastAsia="en-GB"/>
        </w:rPr>
        <w:t>Risk, Hazards &amp; Crisis in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6</w:t>
      </w:r>
      <w:r w:rsidRPr="00CF1465">
        <w:rPr>
          <w:rFonts w:ascii="Times New Roman" w:eastAsia="Times New Roman" w:hAnsi="Times New Roman" w:cs="Times New Roman"/>
          <w:lang w:val="en-GB" w:eastAsia="en-GB"/>
        </w:rPr>
        <w:t>(1), 1-21. https://doi.org/10.1002/rhc3.12070</w:t>
      </w:r>
    </w:p>
    <w:p w14:paraId="7A7BC8B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Kuipers, S., &amp; ’t Hart, P. (2014). </w:t>
      </w:r>
      <w:r w:rsidRPr="00CF1465">
        <w:rPr>
          <w:rFonts w:ascii="Times New Roman" w:eastAsia="Times New Roman" w:hAnsi="Times New Roman" w:cs="Times New Roman"/>
          <w:lang w:val="en-GB" w:eastAsia="en-GB"/>
        </w:rPr>
        <w:t xml:space="preserve">Accounting for Crises. In M. Bovens, R. E. Goodin, &amp; T. Schillemans (Red.), </w:t>
      </w:r>
      <w:r w:rsidRPr="00CF1465">
        <w:rPr>
          <w:rFonts w:ascii="Times New Roman" w:eastAsia="Times New Roman" w:hAnsi="Times New Roman" w:cs="Times New Roman"/>
          <w:i/>
          <w:iCs/>
          <w:lang w:val="en-GB" w:eastAsia="en-GB"/>
        </w:rPr>
        <w:t>The Oxford Handbook of Public Accountability</w:t>
      </w:r>
      <w:r w:rsidRPr="00CF1465">
        <w:rPr>
          <w:rFonts w:ascii="Times New Roman" w:eastAsia="Times New Roman" w:hAnsi="Times New Roman" w:cs="Times New Roman"/>
          <w:lang w:val="en-GB" w:eastAsia="en-GB"/>
        </w:rPr>
        <w:t xml:space="preserve"> (pp. 589-602). Oxford University Press.</w:t>
      </w:r>
    </w:p>
    <w:p w14:paraId="79CEF79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Kuipers, S., van der Wilt, A., &amp; Wolbers, J. (2022). Pandemic publishing: A bibliometric review of COVID-19 research in the crisis and disaster literature. </w:t>
      </w:r>
      <w:r w:rsidRPr="00CF1465">
        <w:rPr>
          <w:rFonts w:ascii="Times New Roman" w:eastAsia="Times New Roman" w:hAnsi="Times New Roman" w:cs="Times New Roman"/>
          <w:i/>
          <w:iCs/>
          <w:lang w:val="en-GB" w:eastAsia="en-GB"/>
        </w:rPr>
        <w:t>Risk, Hazards &amp; Crisis in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Online first publication</w:t>
      </w:r>
      <w:r w:rsidRPr="00CF1465">
        <w:rPr>
          <w:rFonts w:ascii="Times New Roman" w:eastAsia="Times New Roman" w:hAnsi="Times New Roman" w:cs="Times New Roman"/>
          <w:lang w:val="en-GB" w:eastAsia="en-GB"/>
        </w:rPr>
        <w:t>, 1-20. https://doi.org/10.1002/rhc3.12262</w:t>
      </w:r>
    </w:p>
    <w:p w14:paraId="13FCDB7C"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nl-NL" w:eastAsia="en-GB"/>
        </w:rPr>
        <w:t xml:space="preserve">Kuipers, S., &amp; Welsh, N. H. (2017). </w:t>
      </w:r>
      <w:r w:rsidRPr="00CF1465">
        <w:rPr>
          <w:rFonts w:ascii="Times New Roman" w:eastAsia="Times New Roman" w:hAnsi="Times New Roman" w:cs="Times New Roman"/>
          <w:lang w:val="en-GB" w:eastAsia="en-GB"/>
        </w:rPr>
        <w:t xml:space="preserve">Taxonomy of the Crisis and Disaster Literature: Themes and Types in 34 Years of Research. </w:t>
      </w:r>
      <w:r w:rsidRPr="00CF1465">
        <w:rPr>
          <w:rFonts w:ascii="Times New Roman" w:eastAsia="Times New Roman" w:hAnsi="Times New Roman" w:cs="Times New Roman"/>
          <w:i/>
          <w:iCs/>
          <w:lang w:val="en-GB" w:eastAsia="en-GB"/>
        </w:rPr>
        <w:t>Risk, Hazards &amp; Crisis in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8</w:t>
      </w:r>
      <w:r w:rsidRPr="00CF1465">
        <w:rPr>
          <w:rFonts w:ascii="Times New Roman" w:eastAsia="Times New Roman" w:hAnsi="Times New Roman" w:cs="Times New Roman"/>
          <w:lang w:val="en-GB" w:eastAsia="en-GB"/>
        </w:rPr>
        <w:t>(4), 272-283. https://doi.org/10.1002/rhc3.12123</w:t>
      </w:r>
    </w:p>
    <w:p w14:paraId="667CDB1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s-ES" w:eastAsia="en-GB"/>
        </w:rPr>
        <w:t>Lægreid</w:t>
      </w:r>
      <w:proofErr w:type="spellEnd"/>
      <w:r w:rsidRPr="00CF1465">
        <w:rPr>
          <w:rFonts w:ascii="Times New Roman" w:eastAsia="Times New Roman" w:hAnsi="Times New Roman" w:cs="Times New Roman"/>
          <w:lang w:val="es-ES" w:eastAsia="en-GB"/>
        </w:rPr>
        <w:t xml:space="preserve">, P., &amp; Rykkja, L. H. (Red.). </w:t>
      </w:r>
      <w:r w:rsidRPr="00CF1465">
        <w:rPr>
          <w:rFonts w:ascii="Times New Roman" w:eastAsia="Times New Roman" w:hAnsi="Times New Roman" w:cs="Times New Roman"/>
          <w:lang w:val="en-GB" w:eastAsia="en-GB"/>
        </w:rPr>
        <w:t xml:space="preserve">(2019). </w:t>
      </w:r>
      <w:r w:rsidRPr="00CF1465">
        <w:rPr>
          <w:rFonts w:ascii="Times New Roman" w:eastAsia="Times New Roman" w:hAnsi="Times New Roman" w:cs="Times New Roman"/>
          <w:i/>
          <w:iCs/>
          <w:lang w:val="en-GB" w:eastAsia="en-GB"/>
        </w:rPr>
        <w:t>Societal Security and Crisis Management: Governance Capacity and Legitimacy</w:t>
      </w:r>
      <w:r w:rsidRPr="00CF1465">
        <w:rPr>
          <w:rFonts w:ascii="Times New Roman" w:eastAsia="Times New Roman" w:hAnsi="Times New Roman" w:cs="Times New Roman"/>
          <w:lang w:val="en-GB" w:eastAsia="en-GB"/>
        </w:rPr>
        <w:t>. Springer International Publishing. https://doi.org/10.1007/978-3-319-92303-1</w:t>
      </w:r>
    </w:p>
    <w:p w14:paraId="5EEEFB2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Lenz, A. (2024). Managing crises as if no one is watching? Governance dilemmas from a public perspective. </w:t>
      </w:r>
      <w:r w:rsidRPr="00CF1465">
        <w:rPr>
          <w:rFonts w:ascii="Times New Roman" w:eastAsia="Times New Roman" w:hAnsi="Times New Roman" w:cs="Times New Roman"/>
          <w:i/>
          <w:iCs/>
          <w:lang w:val="en-GB" w:eastAsia="en-GB"/>
        </w:rPr>
        <w:t>Public Administration</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Online first publication</w:t>
      </w:r>
      <w:r w:rsidRPr="00CF1465">
        <w:rPr>
          <w:rFonts w:ascii="Times New Roman" w:eastAsia="Times New Roman" w:hAnsi="Times New Roman" w:cs="Times New Roman"/>
          <w:lang w:val="en-GB" w:eastAsia="en-GB"/>
        </w:rPr>
        <w:t>, 1-21. https://doi.org/10.1111/padm.12980</w:t>
      </w:r>
    </w:p>
    <w:p w14:paraId="11258DD7"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Mavrot</w:t>
      </w:r>
      <w:proofErr w:type="spellEnd"/>
      <w:r w:rsidRPr="00CF1465">
        <w:rPr>
          <w:rFonts w:ascii="Times New Roman" w:eastAsia="Times New Roman" w:hAnsi="Times New Roman" w:cs="Times New Roman"/>
          <w:lang w:val="en-GB" w:eastAsia="en-GB"/>
        </w:rPr>
        <w:t xml:space="preserve">, C., &amp; Sager, F. (2024). Blame-avoidance and fragmented crisis management during the COVID-19 pandemic in Switzerland. </w:t>
      </w:r>
      <w:r w:rsidRPr="00CF1465">
        <w:rPr>
          <w:rFonts w:ascii="Times New Roman" w:eastAsia="Times New Roman" w:hAnsi="Times New Roman" w:cs="Times New Roman"/>
          <w:i/>
          <w:iCs/>
          <w:lang w:val="en-GB" w:eastAsia="en-GB"/>
        </w:rPr>
        <w:t>European Policy Analysis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10</w:t>
      </w:r>
      <w:r w:rsidRPr="00CF1465">
        <w:rPr>
          <w:rFonts w:ascii="Times New Roman" w:eastAsia="Times New Roman" w:hAnsi="Times New Roman" w:cs="Times New Roman"/>
          <w:lang w:val="en-GB" w:eastAsia="en-GB"/>
        </w:rPr>
        <w:t>(1), 61-83. https://doi.org/10.1002/epa2.1194</w:t>
      </w:r>
    </w:p>
    <w:p w14:paraId="68BF2AF3"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McConnell, A. (2020, </w:t>
      </w:r>
      <w:proofErr w:type="spellStart"/>
      <w:r w:rsidRPr="00CF1465">
        <w:rPr>
          <w:rFonts w:ascii="Times New Roman" w:eastAsia="Times New Roman" w:hAnsi="Times New Roman" w:cs="Times New Roman"/>
          <w:lang w:val="en-GB" w:eastAsia="en-GB"/>
        </w:rPr>
        <w:t>januari</w:t>
      </w:r>
      <w:proofErr w:type="spellEnd"/>
      <w:r w:rsidRPr="00CF1465">
        <w:rPr>
          <w:rFonts w:ascii="Times New Roman" w:eastAsia="Times New Roman" w:hAnsi="Times New Roman" w:cs="Times New Roman"/>
          <w:lang w:val="en-GB" w:eastAsia="en-GB"/>
        </w:rPr>
        <w:t xml:space="preserve"> 30). </w:t>
      </w:r>
      <w:r w:rsidRPr="00CF1465">
        <w:rPr>
          <w:rFonts w:ascii="Times New Roman" w:eastAsia="Times New Roman" w:hAnsi="Times New Roman" w:cs="Times New Roman"/>
          <w:i/>
          <w:iCs/>
          <w:lang w:val="en-GB" w:eastAsia="en-GB"/>
        </w:rPr>
        <w:t>The Politics of Crisis Terminology</w:t>
      </w:r>
      <w:r w:rsidRPr="00CF1465">
        <w:rPr>
          <w:rFonts w:ascii="Times New Roman" w:eastAsia="Times New Roman" w:hAnsi="Times New Roman" w:cs="Times New Roman"/>
          <w:lang w:val="en-GB" w:eastAsia="en-GB"/>
        </w:rPr>
        <w:t xml:space="preserve">. Oxford Research </w:t>
      </w:r>
      <w:proofErr w:type="spellStart"/>
      <w:r w:rsidRPr="00CF1465">
        <w:rPr>
          <w:rFonts w:ascii="Times New Roman" w:eastAsia="Times New Roman" w:hAnsi="Times New Roman" w:cs="Times New Roman"/>
          <w:lang w:val="en-GB" w:eastAsia="en-GB"/>
        </w:rPr>
        <w:t>Encyclopedia</w:t>
      </w:r>
      <w:proofErr w:type="spellEnd"/>
      <w:r w:rsidRPr="00CF1465">
        <w:rPr>
          <w:rFonts w:ascii="Times New Roman" w:eastAsia="Times New Roman" w:hAnsi="Times New Roman" w:cs="Times New Roman"/>
          <w:lang w:val="en-GB" w:eastAsia="en-GB"/>
        </w:rPr>
        <w:t xml:space="preserve"> of Politics. https://doi.org/10.1093/acrefore/9780190228637.013.1590</w:t>
      </w:r>
    </w:p>
    <w:p w14:paraId="08DF8ED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Migone</w:t>
      </w:r>
      <w:proofErr w:type="spellEnd"/>
      <w:r w:rsidRPr="00CF1465">
        <w:rPr>
          <w:rFonts w:ascii="Times New Roman" w:eastAsia="Times New Roman" w:hAnsi="Times New Roman" w:cs="Times New Roman"/>
          <w:lang w:val="en-GB" w:eastAsia="en-GB"/>
        </w:rPr>
        <w:t xml:space="preserve">, A. R. (2020). Trust, but customize: Federalism’s impact on the Canadian COVID-19 response. </w:t>
      </w:r>
      <w:r w:rsidRPr="00CF1465">
        <w:rPr>
          <w:rFonts w:ascii="Times New Roman" w:eastAsia="Times New Roman" w:hAnsi="Times New Roman" w:cs="Times New Roman"/>
          <w:i/>
          <w:iCs/>
          <w:lang w:val="en-GB" w:eastAsia="en-GB"/>
        </w:rPr>
        <w:t>Policy and Society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39</w:t>
      </w:r>
      <w:r w:rsidRPr="00CF1465">
        <w:rPr>
          <w:rFonts w:ascii="Times New Roman" w:eastAsia="Times New Roman" w:hAnsi="Times New Roman" w:cs="Times New Roman"/>
          <w:lang w:val="en-GB" w:eastAsia="en-GB"/>
        </w:rPr>
        <w:t>(3), 382-402. https://doi.org/10.1080/14494035.2020.1783788</w:t>
      </w:r>
    </w:p>
    <w:p w14:paraId="03766F93"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Neblo</w:t>
      </w:r>
      <w:proofErr w:type="spellEnd"/>
      <w:r w:rsidRPr="00CF1465">
        <w:rPr>
          <w:rFonts w:ascii="Times New Roman" w:eastAsia="Times New Roman" w:hAnsi="Times New Roman" w:cs="Times New Roman"/>
          <w:lang w:val="en-GB" w:eastAsia="en-GB"/>
        </w:rPr>
        <w:t xml:space="preserve">, M. A., &amp; Wallace, J. L. (2021). A Plague on Politics? The COVID Crisis, Expertise, and the Future of Legitimation. </w:t>
      </w:r>
      <w:r w:rsidRPr="00CF1465">
        <w:rPr>
          <w:rFonts w:ascii="Times New Roman" w:eastAsia="Times New Roman" w:hAnsi="Times New Roman" w:cs="Times New Roman"/>
          <w:i/>
          <w:iCs/>
          <w:lang w:val="en-GB" w:eastAsia="en-GB"/>
        </w:rPr>
        <w:t>American Political Science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115</w:t>
      </w:r>
      <w:r w:rsidRPr="00CF1465">
        <w:rPr>
          <w:rFonts w:ascii="Times New Roman" w:eastAsia="Times New Roman" w:hAnsi="Times New Roman" w:cs="Times New Roman"/>
          <w:lang w:val="en-GB" w:eastAsia="en-GB"/>
        </w:rPr>
        <w:t>(4), 1524-1529. https://doi.org/10.1017/S0003055421000575</w:t>
      </w:r>
    </w:p>
    <w:p w14:paraId="71A2FBB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Papadopoulos, Y. (2007). Problems of Democratic Accountability in Network and Multilevel Governance. </w:t>
      </w:r>
      <w:r w:rsidRPr="00CF1465">
        <w:rPr>
          <w:rFonts w:ascii="Times New Roman" w:eastAsia="Times New Roman" w:hAnsi="Times New Roman" w:cs="Times New Roman"/>
          <w:i/>
          <w:iCs/>
          <w:lang w:val="en-GB" w:eastAsia="en-GB"/>
        </w:rPr>
        <w:t>European Law Journal</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13</w:t>
      </w:r>
      <w:r w:rsidRPr="00CF1465">
        <w:rPr>
          <w:rFonts w:ascii="Times New Roman" w:eastAsia="Times New Roman" w:hAnsi="Times New Roman" w:cs="Times New Roman"/>
          <w:lang w:val="en-GB" w:eastAsia="en-GB"/>
        </w:rPr>
        <w:t>(4), 469-486. https://doi.org/10.1111/j.1468-0386.2007.00379.x</w:t>
      </w:r>
    </w:p>
    <w:p w14:paraId="14A0A1B6"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Papadopoulos, Y., Tortola, P. D., &amp; Geyer, N. (2024). Taking stock of the multilevel governance research programme: A systematic literature review. </w:t>
      </w:r>
      <w:r w:rsidRPr="00CF1465">
        <w:rPr>
          <w:rFonts w:ascii="Times New Roman" w:eastAsia="Times New Roman" w:hAnsi="Times New Roman" w:cs="Times New Roman"/>
          <w:i/>
          <w:iCs/>
          <w:lang w:val="en-GB" w:eastAsia="en-GB"/>
        </w:rPr>
        <w:t>Regional &amp; Federal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Online first publication</w:t>
      </w:r>
      <w:r w:rsidRPr="00CF1465">
        <w:rPr>
          <w:rFonts w:ascii="Times New Roman" w:eastAsia="Times New Roman" w:hAnsi="Times New Roman" w:cs="Times New Roman"/>
          <w:lang w:val="en-GB" w:eastAsia="en-GB"/>
        </w:rPr>
        <w:t>, 1-33. https://doi.org/10.1080/13597566.2024.2334470</w:t>
      </w:r>
    </w:p>
    <w:p w14:paraId="716875FE"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Raudla</w:t>
      </w:r>
      <w:proofErr w:type="spellEnd"/>
      <w:r w:rsidRPr="00CF1465">
        <w:rPr>
          <w:rFonts w:ascii="Times New Roman" w:eastAsia="Times New Roman" w:hAnsi="Times New Roman" w:cs="Times New Roman"/>
          <w:lang w:val="en-GB" w:eastAsia="en-GB"/>
        </w:rPr>
        <w:t xml:space="preserve">, R., Douglas, J. W., </w:t>
      </w:r>
      <w:proofErr w:type="spellStart"/>
      <w:r w:rsidRPr="00CF1465">
        <w:rPr>
          <w:rFonts w:ascii="Times New Roman" w:eastAsia="Times New Roman" w:hAnsi="Times New Roman" w:cs="Times New Roman"/>
          <w:lang w:val="en-GB" w:eastAsia="en-GB"/>
        </w:rPr>
        <w:t>Randma</w:t>
      </w:r>
      <w:proofErr w:type="spellEnd"/>
      <w:r w:rsidRPr="00CF1465">
        <w:rPr>
          <w:rFonts w:ascii="Times New Roman" w:eastAsia="Times New Roman" w:hAnsi="Times New Roman" w:cs="Times New Roman"/>
          <w:lang w:val="en-GB" w:eastAsia="en-GB"/>
        </w:rPr>
        <w:t xml:space="preserve">-Liiv, T., &amp; Savi, R. (2015). The Impact of Fiscal Crisis on Decision-Making Processes in European Governments: Dynamics of a Centralization Cascade. </w:t>
      </w:r>
      <w:r w:rsidRPr="00CF1465">
        <w:rPr>
          <w:rFonts w:ascii="Times New Roman" w:eastAsia="Times New Roman" w:hAnsi="Times New Roman" w:cs="Times New Roman"/>
          <w:i/>
          <w:iCs/>
          <w:lang w:val="en-GB" w:eastAsia="en-GB"/>
        </w:rPr>
        <w:t>Public Administration Review</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75</w:t>
      </w:r>
      <w:r w:rsidRPr="00CF1465">
        <w:rPr>
          <w:rFonts w:ascii="Times New Roman" w:eastAsia="Times New Roman" w:hAnsi="Times New Roman" w:cs="Times New Roman"/>
          <w:lang w:val="en-GB" w:eastAsia="en-GB"/>
        </w:rPr>
        <w:t>(6), 842-852. https://doi.org/10.1111/puar.12381</w:t>
      </w:r>
    </w:p>
    <w:p w14:paraId="4F8377ED" w14:textId="77777777" w:rsidR="00CC5602" w:rsidRPr="00CF1465" w:rsidRDefault="00CC5602" w:rsidP="00CC5602">
      <w:pPr>
        <w:spacing w:after="0" w:line="480" w:lineRule="auto"/>
        <w:ind w:left="720" w:hanging="720"/>
        <w:rPr>
          <w:rFonts w:ascii="Times New Roman" w:eastAsia="Times New Roman" w:hAnsi="Times New Roman" w:cs="Times New Roman"/>
          <w:lang w:val="nl-NL" w:eastAsia="en-GB"/>
        </w:rPr>
      </w:pPr>
      <w:proofErr w:type="spellStart"/>
      <w:r w:rsidRPr="00CF1465">
        <w:rPr>
          <w:rFonts w:ascii="Times New Roman" w:eastAsia="Times New Roman" w:hAnsi="Times New Roman" w:cs="Times New Roman"/>
          <w:lang w:val="en-GB" w:eastAsia="en-GB"/>
        </w:rPr>
        <w:t>Redactie</w:t>
      </w:r>
      <w:proofErr w:type="spellEnd"/>
      <w:r w:rsidRPr="00CF1465">
        <w:rPr>
          <w:rFonts w:ascii="Times New Roman" w:eastAsia="Times New Roman" w:hAnsi="Times New Roman" w:cs="Times New Roman"/>
          <w:lang w:val="en-GB" w:eastAsia="en-GB"/>
        </w:rPr>
        <w:t xml:space="preserve"> Trouw, R. (2022, </w:t>
      </w:r>
      <w:proofErr w:type="spellStart"/>
      <w:r w:rsidRPr="00CF1465">
        <w:rPr>
          <w:rFonts w:ascii="Times New Roman" w:eastAsia="Times New Roman" w:hAnsi="Times New Roman" w:cs="Times New Roman"/>
          <w:lang w:val="en-GB" w:eastAsia="en-GB"/>
        </w:rPr>
        <w:t>januari</w:t>
      </w:r>
      <w:proofErr w:type="spellEnd"/>
      <w:r w:rsidRPr="00CF1465">
        <w:rPr>
          <w:rFonts w:ascii="Times New Roman" w:eastAsia="Times New Roman" w:hAnsi="Times New Roman" w:cs="Times New Roman"/>
          <w:lang w:val="en-GB" w:eastAsia="en-GB"/>
        </w:rPr>
        <w:t xml:space="preserve"> 14). </w:t>
      </w:r>
      <w:r w:rsidRPr="00CF1465">
        <w:rPr>
          <w:rFonts w:ascii="Times New Roman" w:eastAsia="Times New Roman" w:hAnsi="Times New Roman" w:cs="Times New Roman"/>
          <w:i/>
          <w:iCs/>
          <w:lang w:val="nl-NL" w:eastAsia="en-GB"/>
        </w:rPr>
        <w:t>Burgemeesters Zuid-Limburg staan opening horeca en cultuur zaterdag toe</w:t>
      </w:r>
      <w:r w:rsidRPr="00CF1465">
        <w:rPr>
          <w:rFonts w:ascii="Times New Roman" w:eastAsia="Times New Roman" w:hAnsi="Times New Roman" w:cs="Times New Roman"/>
          <w:lang w:val="nl-NL" w:eastAsia="en-GB"/>
        </w:rPr>
        <w:t>. Trouw. https://www.trouw.nl/binnenland/burgemeesters-zuid-limburg-staan-opening-horeca-en-cultuur-zaterdag-toe~b6d57342/</w:t>
      </w:r>
    </w:p>
    <w:p w14:paraId="019C933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US" w:eastAsia="en-GB"/>
        </w:rPr>
        <w:t xml:space="preserve">Rosenthal, U., Charles, M. T., &amp; ’t Hart, P. (1989). </w:t>
      </w:r>
      <w:r w:rsidRPr="00CF1465">
        <w:rPr>
          <w:rFonts w:ascii="Times New Roman" w:eastAsia="Times New Roman" w:hAnsi="Times New Roman" w:cs="Times New Roman"/>
          <w:i/>
          <w:iCs/>
          <w:lang w:val="en-GB" w:eastAsia="en-GB"/>
        </w:rPr>
        <w:t>Coping With Crises: The Management of Disasters, Riots, and Terrorism</w:t>
      </w:r>
      <w:r w:rsidRPr="00CF1465">
        <w:rPr>
          <w:rFonts w:ascii="Times New Roman" w:eastAsia="Times New Roman" w:hAnsi="Times New Roman" w:cs="Times New Roman"/>
          <w:lang w:val="en-GB" w:eastAsia="en-GB"/>
        </w:rPr>
        <w:t>.</w:t>
      </w:r>
    </w:p>
    <w:p w14:paraId="6EC98AB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Rosenthal, U., &amp;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xml:space="preserve">, A. (1993). Globalizing an Agenda for Contingencies and Crisis Management: An Editorial Statement. </w:t>
      </w:r>
      <w:r w:rsidRPr="00CF1465">
        <w:rPr>
          <w:rFonts w:ascii="Times New Roman" w:eastAsia="Times New Roman" w:hAnsi="Times New Roman" w:cs="Times New Roman"/>
          <w:i/>
          <w:iCs/>
          <w:lang w:val="en-GB" w:eastAsia="en-GB"/>
        </w:rPr>
        <w:t>Journal of Contingencies &amp;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w:t>
      </w:r>
      <w:r w:rsidRPr="00CF1465">
        <w:rPr>
          <w:rFonts w:ascii="Times New Roman" w:eastAsia="Times New Roman" w:hAnsi="Times New Roman" w:cs="Times New Roman"/>
          <w:lang w:val="en-GB" w:eastAsia="en-GB"/>
        </w:rPr>
        <w:t>(1), 1. https://doi.org/10.1111/j.1468-5973.1993.tb00001.x</w:t>
      </w:r>
    </w:p>
    <w:p w14:paraId="44DA619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Rosenthal, U., &amp; </w:t>
      </w:r>
      <w:proofErr w:type="spellStart"/>
      <w:r w:rsidRPr="00CF1465">
        <w:rPr>
          <w:rFonts w:ascii="Times New Roman" w:eastAsia="Times New Roman" w:hAnsi="Times New Roman" w:cs="Times New Roman"/>
          <w:lang w:val="en-GB" w:eastAsia="en-GB"/>
        </w:rPr>
        <w:t>Kouzmin</w:t>
      </w:r>
      <w:proofErr w:type="spellEnd"/>
      <w:r w:rsidRPr="00CF1465">
        <w:rPr>
          <w:rFonts w:ascii="Times New Roman" w:eastAsia="Times New Roman" w:hAnsi="Times New Roman" w:cs="Times New Roman"/>
          <w:lang w:val="en-GB" w:eastAsia="en-GB"/>
        </w:rPr>
        <w:t xml:space="preserve">, A. (1997). Crises and Crisis Management: Toward Comprehensive Government Decision Making. </w:t>
      </w:r>
      <w:r w:rsidRPr="00CF1465">
        <w:rPr>
          <w:rFonts w:ascii="Times New Roman" w:eastAsia="Times New Roman" w:hAnsi="Times New Roman" w:cs="Times New Roman"/>
          <w:i/>
          <w:iCs/>
          <w:lang w:val="en-GB" w:eastAsia="en-GB"/>
        </w:rPr>
        <w:t>Journal of Public Administration Research and Theory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7</w:t>
      </w:r>
      <w:r w:rsidRPr="00CF1465">
        <w:rPr>
          <w:rFonts w:ascii="Times New Roman" w:eastAsia="Times New Roman" w:hAnsi="Times New Roman" w:cs="Times New Roman"/>
          <w:lang w:val="en-GB" w:eastAsia="en-GB"/>
        </w:rPr>
        <w:t>(2), 277-304. https://doi.org/10.1093/oxfordjournals.jpart.a024349</w:t>
      </w:r>
    </w:p>
    <w:p w14:paraId="08DFF47F"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de-DE" w:eastAsia="en-GB"/>
        </w:rPr>
        <w:t xml:space="preserve">Rosenthal, U., &amp; ’t Hart, P. (1991). </w:t>
      </w:r>
      <w:r w:rsidRPr="00CF1465">
        <w:rPr>
          <w:rFonts w:ascii="Times New Roman" w:eastAsia="Times New Roman" w:hAnsi="Times New Roman" w:cs="Times New Roman"/>
          <w:lang w:val="en-GB" w:eastAsia="en-GB"/>
        </w:rPr>
        <w:t xml:space="preserve">Experts and Decision Makers in Crisis Situations. </w:t>
      </w:r>
      <w:r w:rsidRPr="00CF1465">
        <w:rPr>
          <w:rFonts w:ascii="Times New Roman" w:eastAsia="Times New Roman" w:hAnsi="Times New Roman" w:cs="Times New Roman"/>
          <w:i/>
          <w:iCs/>
          <w:lang w:val="en-GB" w:eastAsia="en-GB"/>
        </w:rPr>
        <w:t>Knowledge</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12</w:t>
      </w:r>
      <w:r w:rsidRPr="00CF1465">
        <w:rPr>
          <w:rFonts w:ascii="Times New Roman" w:eastAsia="Times New Roman" w:hAnsi="Times New Roman" w:cs="Times New Roman"/>
          <w:lang w:val="en-GB" w:eastAsia="en-GB"/>
        </w:rPr>
        <w:t>(4), 350-372. https://doi.org/10.1177/107554709101200402</w:t>
      </w:r>
    </w:p>
    <w:p w14:paraId="12B3568D"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Schakel, A. H., &amp; Smith, R. (2022). Unravelling the ‘devolution paradox’: Citizen preferences for self-rule and for shared rule. </w:t>
      </w:r>
      <w:r w:rsidRPr="00CF1465">
        <w:rPr>
          <w:rFonts w:ascii="Times New Roman" w:eastAsia="Times New Roman" w:hAnsi="Times New Roman" w:cs="Times New Roman"/>
          <w:i/>
          <w:iCs/>
          <w:lang w:val="en-GB" w:eastAsia="en-GB"/>
        </w:rPr>
        <w:t>European Journal of Political Research</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61</w:t>
      </w:r>
      <w:r w:rsidRPr="00CF1465">
        <w:rPr>
          <w:rFonts w:ascii="Times New Roman" w:eastAsia="Times New Roman" w:hAnsi="Times New Roman" w:cs="Times New Roman"/>
          <w:lang w:val="en-GB" w:eastAsia="en-GB"/>
        </w:rPr>
        <w:t>(3), 642-659. https://doi.org/10.1111/1475-6765.12466</w:t>
      </w:r>
    </w:p>
    <w:p w14:paraId="050C0B5C"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proofErr w:type="spellStart"/>
      <w:r w:rsidRPr="00CF1465">
        <w:rPr>
          <w:rFonts w:ascii="Times New Roman" w:eastAsia="Times New Roman" w:hAnsi="Times New Roman" w:cs="Times New Roman"/>
          <w:lang w:val="en-GB" w:eastAsia="en-GB"/>
        </w:rPr>
        <w:t>Schimmelfennig</w:t>
      </w:r>
      <w:proofErr w:type="spellEnd"/>
      <w:r w:rsidRPr="00CF1465">
        <w:rPr>
          <w:rFonts w:ascii="Times New Roman" w:eastAsia="Times New Roman" w:hAnsi="Times New Roman" w:cs="Times New Roman"/>
          <w:lang w:val="en-GB" w:eastAsia="en-GB"/>
        </w:rPr>
        <w:t xml:space="preserve">, F. (2014). European Integration in the Euro Crisis: The Limits of </w:t>
      </w:r>
      <w:proofErr w:type="spellStart"/>
      <w:r w:rsidRPr="00CF1465">
        <w:rPr>
          <w:rFonts w:ascii="Times New Roman" w:eastAsia="Times New Roman" w:hAnsi="Times New Roman" w:cs="Times New Roman"/>
          <w:lang w:val="en-GB" w:eastAsia="en-GB"/>
        </w:rPr>
        <w:t>Postfunctionalism</w:t>
      </w:r>
      <w:proofErr w:type="spellEnd"/>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Journal of European Integration</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36</w:t>
      </w:r>
      <w:r w:rsidRPr="00CF1465">
        <w:rPr>
          <w:rFonts w:ascii="Times New Roman" w:eastAsia="Times New Roman" w:hAnsi="Times New Roman" w:cs="Times New Roman"/>
          <w:lang w:val="en-GB" w:eastAsia="en-GB"/>
        </w:rPr>
        <w:t>(3), 321-337. https://doi.org/10.1080/07036337.2014.886399</w:t>
      </w:r>
    </w:p>
    <w:p w14:paraId="3A1C7B6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lastRenderedPageBreak/>
        <w:t xml:space="preserve">Schmidt, V. (2013). Democracy and Legitimacy in the European Union Revisited: Input, Output and ‘Throughput’. </w:t>
      </w:r>
      <w:r w:rsidRPr="00CF1465">
        <w:rPr>
          <w:rFonts w:ascii="Times New Roman" w:eastAsia="Times New Roman" w:hAnsi="Times New Roman" w:cs="Times New Roman"/>
          <w:i/>
          <w:iCs/>
          <w:lang w:val="en-GB" w:eastAsia="en-GB"/>
        </w:rPr>
        <w:t>Political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61</w:t>
      </w:r>
      <w:r w:rsidRPr="00CF1465">
        <w:rPr>
          <w:rFonts w:ascii="Times New Roman" w:eastAsia="Times New Roman" w:hAnsi="Times New Roman" w:cs="Times New Roman"/>
          <w:lang w:val="en-GB" w:eastAsia="en-GB"/>
        </w:rPr>
        <w:t>(1), 2-22. https://doi.org/10.1111/j.1467-9248.2012.00962.x</w:t>
      </w:r>
    </w:p>
    <w:p w14:paraId="71B5D921"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Schmidt, V. (2022). European emergency politics and the question of legitimacy.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29</w:t>
      </w:r>
      <w:r w:rsidRPr="00CF1465">
        <w:rPr>
          <w:rFonts w:ascii="Times New Roman" w:eastAsia="Times New Roman" w:hAnsi="Times New Roman" w:cs="Times New Roman"/>
          <w:lang w:val="en-GB" w:eastAsia="en-GB"/>
        </w:rPr>
        <w:t>(6), 979-993. https://doi.org/10.1080/13501763.2021.1916061</w:t>
      </w:r>
    </w:p>
    <w:p w14:paraId="6857BD39"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Schmidt, V., &amp; Wood, M. (2019). Conceptualizing throughput legitimacy: Procedural mechanisms of accountability, transparency, inclusiveness and openness in EU governance. </w:t>
      </w:r>
      <w:r w:rsidRPr="00CF1465">
        <w:rPr>
          <w:rFonts w:ascii="Times New Roman" w:eastAsia="Times New Roman" w:hAnsi="Times New Roman" w:cs="Times New Roman"/>
          <w:i/>
          <w:iCs/>
          <w:lang w:val="en-GB" w:eastAsia="en-GB"/>
        </w:rPr>
        <w:t>Public Administration</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97</w:t>
      </w:r>
      <w:r w:rsidRPr="00CF1465">
        <w:rPr>
          <w:rFonts w:ascii="Times New Roman" w:eastAsia="Times New Roman" w:hAnsi="Times New Roman" w:cs="Times New Roman"/>
          <w:lang w:val="en-GB" w:eastAsia="en-GB"/>
        </w:rPr>
        <w:t>(4), 727-740. https://doi.org/10.1111/padm.12615</w:t>
      </w:r>
    </w:p>
    <w:p w14:paraId="090325D4"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Schnabel, J., Anderson ,Paul, &amp; and De Francesco, F. (2024). Multilevel governance and political leadership: Crisis communication in Germany, Italy, and the United Kingdom during the COVID-19 pandemic. </w:t>
      </w:r>
      <w:r w:rsidRPr="00CF1465">
        <w:rPr>
          <w:rFonts w:ascii="Times New Roman" w:eastAsia="Times New Roman" w:hAnsi="Times New Roman" w:cs="Times New Roman"/>
          <w:i/>
          <w:iCs/>
          <w:lang w:val="en-GB" w:eastAsia="en-GB"/>
        </w:rPr>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31</w:t>
      </w:r>
      <w:r w:rsidRPr="00CF1465">
        <w:rPr>
          <w:rFonts w:ascii="Times New Roman" w:eastAsia="Times New Roman" w:hAnsi="Times New Roman" w:cs="Times New Roman"/>
          <w:lang w:val="en-GB" w:eastAsia="en-GB"/>
        </w:rPr>
        <w:t>(9), 2719-2747. https://doi.org/10.1080/13501763.2023.2199784</w:t>
      </w:r>
    </w:p>
    <w:p w14:paraId="58CEDBA1"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Stern, E. (1997). Crisis and Learning: A Conceptual Balance Sheet.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5</w:t>
      </w:r>
      <w:r w:rsidRPr="00CF1465">
        <w:rPr>
          <w:rFonts w:ascii="Times New Roman" w:eastAsia="Times New Roman" w:hAnsi="Times New Roman" w:cs="Times New Roman"/>
          <w:lang w:val="en-GB" w:eastAsia="en-GB"/>
        </w:rPr>
        <w:t>(2), 69-86. https://doi.org/10.1111/1468-5973.00039</w:t>
      </w:r>
    </w:p>
    <w:p w14:paraId="12CC906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Stern, E. (2013). Preparing: The Sixth Task of Crisis Leadership. </w:t>
      </w:r>
      <w:r w:rsidRPr="00CF1465">
        <w:rPr>
          <w:rFonts w:ascii="Times New Roman" w:eastAsia="Times New Roman" w:hAnsi="Times New Roman" w:cs="Times New Roman"/>
          <w:i/>
          <w:iCs/>
          <w:lang w:val="en-GB" w:eastAsia="en-GB"/>
        </w:rPr>
        <w:t>Journal of Leadership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7</w:t>
      </w:r>
      <w:r w:rsidRPr="00CF1465">
        <w:rPr>
          <w:rFonts w:ascii="Times New Roman" w:eastAsia="Times New Roman" w:hAnsi="Times New Roman" w:cs="Times New Roman"/>
          <w:lang w:val="en-GB" w:eastAsia="en-GB"/>
        </w:rPr>
        <w:t>(3), 51-56. https://doi.org/10.1002/jls.21298</w:t>
      </w:r>
    </w:p>
    <w:p w14:paraId="4CCB6108"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 Hart, P. (1993). Symbols, Rituals and Power: The Lost Dimensions of Crisis Management.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1</w:t>
      </w:r>
      <w:r w:rsidRPr="00CF1465">
        <w:rPr>
          <w:rFonts w:ascii="Times New Roman" w:eastAsia="Times New Roman" w:hAnsi="Times New Roman" w:cs="Times New Roman"/>
          <w:lang w:val="en-GB" w:eastAsia="en-GB"/>
        </w:rPr>
        <w:t>(1), 36-50. https://doi.org/10.1111/j.1468-5973.1993.tb00005.x</w:t>
      </w:r>
    </w:p>
    <w:p w14:paraId="3156458D" w14:textId="77777777" w:rsidR="00CC5602" w:rsidRPr="00CF1465" w:rsidRDefault="00CC5602" w:rsidP="00CC5602">
      <w:pPr>
        <w:spacing w:after="0" w:line="480" w:lineRule="auto"/>
        <w:ind w:left="720" w:hanging="720"/>
        <w:rPr>
          <w:rFonts w:ascii="Times New Roman" w:eastAsia="Times New Roman" w:hAnsi="Times New Roman" w:cs="Times New Roman"/>
          <w:lang w:val="de-DE" w:eastAsia="en-GB"/>
        </w:rPr>
      </w:pPr>
      <w:r w:rsidRPr="00CF1465">
        <w:rPr>
          <w:rFonts w:ascii="Times New Roman" w:eastAsia="Times New Roman" w:hAnsi="Times New Roman" w:cs="Times New Roman"/>
          <w:lang w:val="en-US" w:eastAsia="en-GB"/>
        </w:rPr>
        <w:t xml:space="preserve">’t Hart, P., &amp; Boin, A. (2001). </w:t>
      </w:r>
      <w:r w:rsidRPr="00CF1465">
        <w:rPr>
          <w:rFonts w:ascii="Times New Roman" w:eastAsia="Times New Roman" w:hAnsi="Times New Roman" w:cs="Times New Roman"/>
          <w:lang w:val="en-GB" w:eastAsia="en-GB"/>
        </w:rPr>
        <w:t xml:space="preserve">Between Crisis and Normalcy: The Long Shadow of Post-Crisis Politics. In U. Rosenthal, A. Boin, &amp; L. K. Comfort (Red.), </w:t>
      </w:r>
      <w:r w:rsidRPr="00CF1465">
        <w:rPr>
          <w:rFonts w:ascii="Times New Roman" w:eastAsia="Times New Roman" w:hAnsi="Times New Roman" w:cs="Times New Roman"/>
          <w:i/>
          <w:iCs/>
          <w:lang w:val="en-GB" w:eastAsia="en-GB"/>
        </w:rPr>
        <w:t>Managing Crises: Threats, Dilemmas, Opportunities</w:t>
      </w:r>
      <w:r w:rsidRPr="00CF1465">
        <w:rPr>
          <w:rFonts w:ascii="Times New Roman" w:eastAsia="Times New Roman" w:hAnsi="Times New Roman" w:cs="Times New Roman"/>
          <w:lang w:val="en-GB" w:eastAsia="en-GB"/>
        </w:rPr>
        <w:t xml:space="preserve"> (pp. 28-46). </w:t>
      </w:r>
      <w:r w:rsidRPr="00CF1465">
        <w:rPr>
          <w:rFonts w:ascii="Times New Roman" w:eastAsia="Times New Roman" w:hAnsi="Times New Roman" w:cs="Times New Roman"/>
          <w:lang w:val="de-DE" w:eastAsia="en-GB"/>
        </w:rPr>
        <w:t>Charles C. Thomas Publisher Ltd.</w:t>
      </w:r>
    </w:p>
    <w:p w14:paraId="55B6FD4D"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de-DE" w:eastAsia="en-GB"/>
        </w:rPr>
        <w:t xml:space="preserve">’t Hart, P., Rosenthal, U., &amp; </w:t>
      </w:r>
      <w:proofErr w:type="spellStart"/>
      <w:r w:rsidRPr="00CF1465">
        <w:rPr>
          <w:rFonts w:ascii="Times New Roman" w:eastAsia="Times New Roman" w:hAnsi="Times New Roman" w:cs="Times New Roman"/>
          <w:lang w:val="de-DE" w:eastAsia="en-GB"/>
        </w:rPr>
        <w:t>Kouzmin</w:t>
      </w:r>
      <w:proofErr w:type="spellEnd"/>
      <w:r w:rsidRPr="00CF1465">
        <w:rPr>
          <w:rFonts w:ascii="Times New Roman" w:eastAsia="Times New Roman" w:hAnsi="Times New Roman" w:cs="Times New Roman"/>
          <w:lang w:val="de-DE" w:eastAsia="en-GB"/>
        </w:rPr>
        <w:t xml:space="preserve">, A. (1993). </w:t>
      </w:r>
      <w:r w:rsidRPr="00CF1465">
        <w:rPr>
          <w:rFonts w:ascii="Times New Roman" w:eastAsia="Times New Roman" w:hAnsi="Times New Roman" w:cs="Times New Roman"/>
          <w:lang w:val="en-GB" w:eastAsia="en-GB"/>
        </w:rPr>
        <w:t xml:space="preserve">Crisis Decision Making: The Centralization Thesis Revisited. </w:t>
      </w:r>
      <w:r w:rsidRPr="00CF1465">
        <w:rPr>
          <w:rFonts w:ascii="Times New Roman" w:eastAsia="Times New Roman" w:hAnsi="Times New Roman" w:cs="Times New Roman"/>
          <w:i/>
          <w:iCs/>
          <w:lang w:val="en-GB" w:eastAsia="en-GB"/>
        </w:rPr>
        <w:t>Administration &amp; Society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25</w:t>
      </w:r>
      <w:r w:rsidRPr="00CF1465">
        <w:rPr>
          <w:rFonts w:ascii="Times New Roman" w:eastAsia="Times New Roman" w:hAnsi="Times New Roman" w:cs="Times New Roman"/>
          <w:lang w:val="en-GB" w:eastAsia="en-GB"/>
        </w:rPr>
        <w:t>(1), 12-45. https://doi.org/10.1177/009539979302500102</w:t>
      </w:r>
    </w:p>
    <w:p w14:paraId="68204CF6"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Toshkov, D., Carroll, B., &amp; Yesilkagit, K. (2022). Government capacity, societal trust or party preferences: What accounts for the variety of national policy responses to the COVID-19 pandemic in Europe? </w:t>
      </w:r>
      <w:r w:rsidRPr="00CF1465">
        <w:rPr>
          <w:rFonts w:ascii="Times New Roman" w:eastAsia="Times New Roman" w:hAnsi="Times New Roman" w:cs="Times New Roman"/>
          <w:i/>
          <w:iCs/>
          <w:lang w:val="en-GB" w:eastAsia="en-GB"/>
        </w:rPr>
        <w:lastRenderedPageBreak/>
        <w:t>Journal of European Public Policy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29</w:t>
      </w:r>
      <w:r w:rsidRPr="00CF1465">
        <w:rPr>
          <w:rFonts w:ascii="Times New Roman" w:eastAsia="Times New Roman" w:hAnsi="Times New Roman" w:cs="Times New Roman"/>
          <w:lang w:val="en-GB" w:eastAsia="en-GB"/>
        </w:rPr>
        <w:t>(7), 1009-1028. https://doi.org/10.1080/13501763.2021.1928270</w:t>
      </w:r>
    </w:p>
    <w:p w14:paraId="3A3558FA"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Tyler, T. R. (2006). Psychological Perspectives on Legitimacy and Legitimation. </w:t>
      </w:r>
      <w:r w:rsidRPr="00CF1465">
        <w:rPr>
          <w:rFonts w:ascii="Times New Roman" w:eastAsia="Times New Roman" w:hAnsi="Times New Roman" w:cs="Times New Roman"/>
          <w:i/>
          <w:iCs/>
          <w:lang w:val="en-GB" w:eastAsia="en-GB"/>
        </w:rPr>
        <w:t>Annual Review of Psychology</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57</w:t>
      </w:r>
      <w:r w:rsidRPr="00CF1465">
        <w:rPr>
          <w:rFonts w:ascii="Times New Roman" w:eastAsia="Times New Roman" w:hAnsi="Times New Roman" w:cs="Times New Roman"/>
          <w:lang w:val="en-GB" w:eastAsia="en-GB"/>
        </w:rPr>
        <w:t>(1), 375-400. https://doi.org/10.1146/annurev.psych.57.102904.190038</w:t>
      </w:r>
    </w:p>
    <w:p w14:paraId="2BA33FF8"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Vampa, D. (2021). COVID-19 and Territorial Policy Dynamics in Western Europe: Comparing France, Spain, Italy, Germany, and the United Kingdom. </w:t>
      </w:r>
      <w:r w:rsidRPr="00CF1465">
        <w:rPr>
          <w:rFonts w:ascii="Times New Roman" w:eastAsia="Times New Roman" w:hAnsi="Times New Roman" w:cs="Times New Roman"/>
          <w:i/>
          <w:iCs/>
          <w:lang w:val="en-GB" w:eastAsia="en-GB"/>
        </w:rPr>
        <w:t>Publius: The Journal of Federalism</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51</w:t>
      </w:r>
      <w:r w:rsidRPr="00CF1465">
        <w:rPr>
          <w:rFonts w:ascii="Times New Roman" w:eastAsia="Times New Roman" w:hAnsi="Times New Roman" w:cs="Times New Roman"/>
          <w:lang w:val="en-GB" w:eastAsia="en-GB"/>
        </w:rPr>
        <w:t>(4), 601-626. https://doi.org/10.1093/publius/pjab017</w:t>
      </w:r>
    </w:p>
    <w:p w14:paraId="30D9DC12"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Vogt, H., &amp; </w:t>
      </w:r>
      <w:proofErr w:type="spellStart"/>
      <w:r w:rsidRPr="00CF1465">
        <w:rPr>
          <w:rFonts w:ascii="Times New Roman" w:eastAsia="Times New Roman" w:hAnsi="Times New Roman" w:cs="Times New Roman"/>
          <w:lang w:val="en-GB" w:eastAsia="en-GB"/>
        </w:rPr>
        <w:t>Värttö</w:t>
      </w:r>
      <w:proofErr w:type="spellEnd"/>
      <w:r w:rsidRPr="00CF1465">
        <w:rPr>
          <w:rFonts w:ascii="Times New Roman" w:eastAsia="Times New Roman" w:hAnsi="Times New Roman" w:cs="Times New Roman"/>
          <w:lang w:val="en-GB" w:eastAsia="en-GB"/>
        </w:rPr>
        <w:t xml:space="preserve">, M. (2024). Crisis, temporality and governmental policy agendas: The cases of Finland and Sweden. </w:t>
      </w:r>
      <w:r w:rsidRPr="00CF1465">
        <w:rPr>
          <w:rFonts w:ascii="Times New Roman" w:eastAsia="Times New Roman" w:hAnsi="Times New Roman" w:cs="Times New Roman"/>
          <w:i/>
          <w:iCs/>
          <w:lang w:val="en-GB" w:eastAsia="en-GB"/>
        </w:rPr>
        <w:t>Scandinavian Political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Online first publication</w:t>
      </w:r>
      <w:r w:rsidRPr="00CF1465">
        <w:rPr>
          <w:rFonts w:ascii="Times New Roman" w:eastAsia="Times New Roman" w:hAnsi="Times New Roman" w:cs="Times New Roman"/>
          <w:lang w:val="en-GB" w:eastAsia="en-GB"/>
        </w:rPr>
        <w:t>, 1-24. https://doi.org/10.1111/1467-9477.12296</w:t>
      </w:r>
    </w:p>
    <w:p w14:paraId="30DC6340"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Wimelius, M. E., &amp; Engberg, J. (2015). Crisis Management through Network Coordination: Experiences of Swedish Civil Defence Directors. </w:t>
      </w:r>
      <w:r w:rsidRPr="00CF1465">
        <w:rPr>
          <w:rFonts w:ascii="Times New Roman" w:eastAsia="Times New Roman" w:hAnsi="Times New Roman" w:cs="Times New Roman"/>
          <w:i/>
          <w:iCs/>
          <w:lang w:val="en-GB" w:eastAsia="en-GB"/>
        </w:rPr>
        <w:t>Journal of Contingencies and Crisis Management</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23</w:t>
      </w:r>
      <w:r w:rsidRPr="00CF1465">
        <w:rPr>
          <w:rFonts w:ascii="Times New Roman" w:eastAsia="Times New Roman" w:hAnsi="Times New Roman" w:cs="Times New Roman"/>
          <w:lang w:val="en-GB" w:eastAsia="en-GB"/>
        </w:rPr>
        <w:t>(3), 129-137. https://doi.org/10.1111/1468-5973.12048</w:t>
      </w:r>
    </w:p>
    <w:p w14:paraId="11D85762" w14:textId="77777777" w:rsidR="00CC5602" w:rsidRPr="00CF1465" w:rsidRDefault="00CC5602" w:rsidP="00CC5602">
      <w:pPr>
        <w:spacing w:after="0" w:line="480" w:lineRule="auto"/>
        <w:ind w:left="720" w:hanging="720"/>
        <w:rPr>
          <w:rFonts w:ascii="Times New Roman" w:eastAsia="Times New Roman" w:hAnsi="Times New Roman" w:cs="Times New Roman"/>
          <w:lang w:val="en-GB" w:eastAsia="en-GB"/>
        </w:rPr>
      </w:pPr>
      <w:r w:rsidRPr="00CF1465">
        <w:rPr>
          <w:rFonts w:ascii="Times New Roman" w:eastAsia="Times New Roman" w:hAnsi="Times New Roman" w:cs="Times New Roman"/>
          <w:lang w:val="en-GB" w:eastAsia="en-GB"/>
        </w:rPr>
        <w:t xml:space="preserve">Wolbers, J., Boersma, K., &amp; Groenewegen, P. (2018). Introducing a Fragmentation Perspective on Coordination in Crisis Management. </w:t>
      </w:r>
      <w:r w:rsidRPr="00CF1465">
        <w:rPr>
          <w:rFonts w:ascii="Times New Roman" w:eastAsia="Times New Roman" w:hAnsi="Times New Roman" w:cs="Times New Roman"/>
          <w:i/>
          <w:iCs/>
          <w:lang w:val="en-GB" w:eastAsia="en-GB"/>
        </w:rPr>
        <w:t>Organization Studies</w:t>
      </w:r>
      <w:r w:rsidRPr="00CF1465">
        <w:rPr>
          <w:rFonts w:ascii="Times New Roman" w:eastAsia="Times New Roman" w:hAnsi="Times New Roman" w:cs="Times New Roman"/>
          <w:lang w:val="en-GB" w:eastAsia="en-GB"/>
        </w:rPr>
        <w:t xml:space="preserve">, </w:t>
      </w:r>
      <w:r w:rsidRPr="00CF1465">
        <w:rPr>
          <w:rFonts w:ascii="Times New Roman" w:eastAsia="Times New Roman" w:hAnsi="Times New Roman" w:cs="Times New Roman"/>
          <w:i/>
          <w:iCs/>
          <w:lang w:val="en-GB" w:eastAsia="en-GB"/>
        </w:rPr>
        <w:t>39</w:t>
      </w:r>
      <w:r w:rsidRPr="00CF1465">
        <w:rPr>
          <w:rFonts w:ascii="Times New Roman" w:eastAsia="Times New Roman" w:hAnsi="Times New Roman" w:cs="Times New Roman"/>
          <w:lang w:val="en-GB" w:eastAsia="en-GB"/>
        </w:rPr>
        <w:t>(11), 1521-1546. https://doi.org/10.1177/0170840617717095</w:t>
      </w:r>
    </w:p>
    <w:p w14:paraId="5EE8F4BD" w14:textId="339D08DE" w:rsidR="0068586A" w:rsidRPr="002067DD" w:rsidRDefault="00CC5602" w:rsidP="00CC5602">
      <w:pPr>
        <w:rPr>
          <w:lang w:val="en-US"/>
        </w:rPr>
      </w:pPr>
      <w:r w:rsidRPr="00CF1465">
        <w:rPr>
          <w:rFonts w:ascii="Times New Roman" w:eastAsia="Times New Roman" w:hAnsi="Times New Roman" w:cs="Times New Roman"/>
          <w:lang w:val="en-GB" w:eastAsia="en-GB"/>
        </w:rPr>
        <w:fldChar w:fldCharType="end"/>
      </w:r>
    </w:p>
    <w:sectPr w:rsidR="0068586A" w:rsidRPr="002067DD" w:rsidSect="00760BF3">
      <w:headerReference w:type="default" r:id="rId13"/>
      <w:footerReference w:type="default" r:id="rId14"/>
      <w:pgSz w:w="12240" w:h="15840"/>
      <w:pgMar w:top="1440" w:right="1440" w:bottom="1440" w:left="1440" w:header="283" w:footer="283"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9322B1" w14:textId="77777777" w:rsidR="00335D89" w:rsidRDefault="00335D89" w:rsidP="00B95D00">
      <w:pPr>
        <w:spacing w:after="0"/>
      </w:pPr>
      <w:r>
        <w:separator/>
      </w:r>
    </w:p>
  </w:endnote>
  <w:endnote w:type="continuationSeparator" w:id="0">
    <w:p w14:paraId="48E5A7D9" w14:textId="77777777" w:rsidR="00335D89" w:rsidRDefault="00335D89" w:rsidP="00B95D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8267039"/>
      <w:docPartObj>
        <w:docPartGallery w:val="Page Numbers (Bottom of Page)"/>
        <w:docPartUnique/>
      </w:docPartObj>
    </w:sdtPr>
    <w:sdtEndPr>
      <w:rPr>
        <w:noProof/>
      </w:rPr>
    </w:sdtEndPr>
    <w:sdtContent>
      <w:p w14:paraId="0E5A3B93" w14:textId="528BBF5D" w:rsidR="008A0DC7" w:rsidRDefault="00D90454" w:rsidP="00B83A39">
        <w:pPr>
          <w:pStyle w:val="Voettekst"/>
          <w:jc w:val="center"/>
        </w:pPr>
        <w:r>
          <w:rPr>
            <w:noProof/>
          </w:rPr>
          <w:drawing>
            <wp:anchor distT="0" distB="0" distL="114300" distR="114300" simplePos="0" relativeHeight="251658240" behindDoc="0" locked="0" layoutInCell="1" allowOverlap="1" wp14:anchorId="3E1ADCFC" wp14:editId="5938D676">
              <wp:simplePos x="0" y="0"/>
              <wp:positionH relativeFrom="column">
                <wp:posOffset>-85725</wp:posOffset>
              </wp:positionH>
              <wp:positionV relativeFrom="paragraph">
                <wp:posOffset>128270</wp:posOffset>
              </wp:positionV>
              <wp:extent cx="2886075" cy="447720"/>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u_test.png"/>
                      <pic:cNvPicPr/>
                    </pic:nvPicPr>
                    <pic:blipFill>
                      <a:blip r:embed="rId1">
                        <a:extLst>
                          <a:ext uri="{28A0092B-C50C-407E-A947-70E740481C1C}">
                            <a14:useLocalDpi xmlns:a14="http://schemas.microsoft.com/office/drawing/2010/main" val="0"/>
                          </a:ext>
                        </a:extLst>
                      </a:blip>
                      <a:stretch>
                        <a:fillRect/>
                      </a:stretch>
                    </pic:blipFill>
                    <pic:spPr>
                      <a:xfrm>
                        <a:off x="0" y="0"/>
                        <a:ext cx="2886075" cy="44772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55F1D329" wp14:editId="375C9303">
              <wp:simplePos x="0" y="0"/>
              <wp:positionH relativeFrom="margin">
                <wp:posOffset>2924175</wp:posOffset>
              </wp:positionH>
              <wp:positionV relativeFrom="paragraph">
                <wp:posOffset>-62865</wp:posOffset>
              </wp:positionV>
              <wp:extent cx="2894330" cy="790562"/>
              <wp:effectExtent l="0" t="0" r="127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ri_test.png"/>
                      <pic:cNvPicPr/>
                    </pic:nvPicPr>
                    <pic:blipFill>
                      <a:blip r:embed="rId2">
                        <a:extLst>
                          <a:ext uri="{28A0092B-C50C-407E-A947-70E740481C1C}">
                            <a14:useLocalDpi xmlns:a14="http://schemas.microsoft.com/office/drawing/2010/main" val="0"/>
                          </a:ext>
                        </a:extLst>
                      </a:blip>
                      <a:stretch>
                        <a:fillRect/>
                      </a:stretch>
                    </pic:blipFill>
                    <pic:spPr>
                      <a:xfrm>
                        <a:off x="0" y="0"/>
                        <a:ext cx="2894330" cy="790562"/>
                      </a:xfrm>
                      <a:prstGeom prst="rect">
                        <a:avLst/>
                      </a:prstGeom>
                    </pic:spPr>
                  </pic:pic>
                </a:graphicData>
              </a:graphic>
              <wp14:sizeRelH relativeFrom="page">
                <wp14:pctWidth>0</wp14:pctWidth>
              </wp14:sizeRelH>
              <wp14:sizeRelV relativeFrom="page">
                <wp14:pctHeight>0</wp14:pctHeight>
              </wp14:sizeRelV>
            </wp:anchor>
          </w:drawing>
        </w:r>
        <w:r w:rsidR="00B83A39">
          <w:t xml:space="preserve"> </w:t>
        </w:r>
      </w:p>
      <w:p w14:paraId="360E11E2" w14:textId="2A87C402" w:rsidR="000F1A95" w:rsidRDefault="000F1A95" w:rsidP="00B83A39">
        <w:pPr>
          <w:pStyle w:val="Voettekst"/>
          <w:jc w:val="center"/>
        </w:pPr>
      </w:p>
      <w:p w14:paraId="3C35EBDE" w14:textId="69494628" w:rsidR="00B83A39" w:rsidRDefault="00B83A39" w:rsidP="008A0DC7">
        <w:pPr>
          <w:pStyle w:val="Voettekst"/>
          <w:jc w:val="right"/>
        </w:pPr>
        <w:r>
          <w:t xml:space="preserve"> </w:t>
        </w:r>
        <w:r>
          <w:fldChar w:fldCharType="begin"/>
        </w:r>
        <w:r>
          <w:instrText xml:space="preserve"> PAGE   \* MERGEFORMAT </w:instrText>
        </w:r>
        <w:r>
          <w:fldChar w:fldCharType="separate"/>
        </w:r>
        <w:r>
          <w:rPr>
            <w:noProof/>
          </w:rPr>
          <w:t>2</w:t>
        </w:r>
        <w:r>
          <w:rPr>
            <w:noProof/>
          </w:rPr>
          <w:fldChar w:fldCharType="end"/>
        </w:r>
      </w:p>
    </w:sdtContent>
  </w:sdt>
  <w:p w14:paraId="4A3E0ED7" w14:textId="0E7867E1" w:rsidR="005D056D" w:rsidRDefault="005D056D" w:rsidP="00B95D00">
    <w:pPr>
      <w:pStyle w:val="Voettekst"/>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7066B9" w14:textId="77777777" w:rsidR="00335D89" w:rsidRDefault="00335D89" w:rsidP="00B95D00">
      <w:pPr>
        <w:spacing w:after="0"/>
      </w:pPr>
      <w:r>
        <w:separator/>
      </w:r>
    </w:p>
  </w:footnote>
  <w:footnote w:type="continuationSeparator" w:id="0">
    <w:p w14:paraId="754D15B0" w14:textId="77777777" w:rsidR="00335D89" w:rsidRDefault="00335D89" w:rsidP="00B95D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6D6B6" w14:textId="361FEDBC" w:rsidR="00614265" w:rsidRPr="00700B5C" w:rsidRDefault="00700B5C" w:rsidP="00614265">
    <w:pPr>
      <w:rPr>
        <w:rFonts w:asciiTheme="majorHAnsi" w:hAnsiTheme="majorHAnsi" w:cstheme="majorHAnsi"/>
        <w:b/>
        <w:sz w:val="16"/>
        <w:szCs w:val="16"/>
        <w:lang w:val="en-US"/>
      </w:rPr>
    </w:pPr>
    <w:r w:rsidRPr="00700B5C">
      <w:rPr>
        <w:rFonts w:asciiTheme="majorHAnsi" w:hAnsiTheme="majorHAnsi" w:cstheme="majorHAnsi"/>
        <w:b/>
        <w:sz w:val="16"/>
        <w:szCs w:val="16"/>
        <w:lang w:val="en-US"/>
      </w:rPr>
      <w:t>Date: [Name of the deliverable]</w:t>
    </w:r>
  </w:p>
  <w:p w14:paraId="7B52FA8C" w14:textId="569B95FE" w:rsidR="005D056D" w:rsidRDefault="005D056D">
    <w:pPr>
      <w:pStyle w:val="Koptekst"/>
    </w:pPr>
    <w:r>
      <w:rPr>
        <w:noProof/>
      </w:rPr>
      <w:drawing>
        <wp:inline distT="0" distB="0" distL="0" distR="0" wp14:anchorId="29D620EB" wp14:editId="16B9A393">
          <wp:extent cx="2009775" cy="856731"/>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9504" cy="86514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01D7C"/>
    <w:multiLevelType w:val="hybridMultilevel"/>
    <w:tmpl w:val="2D9621B2"/>
    <w:lvl w:ilvl="0" w:tplc="E20EDC98">
      <w:start w:val="1"/>
      <w:numFmt w:val="decimal"/>
      <w:pStyle w:val="Kop4"/>
      <w:lvlText w:val="%1."/>
      <w:lvlJc w:val="left"/>
      <w:pPr>
        <w:ind w:left="717"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 w15:restartNumberingAfterBreak="0">
    <w:nsid w:val="3C5D0C07"/>
    <w:multiLevelType w:val="hybridMultilevel"/>
    <w:tmpl w:val="4CA02766"/>
    <w:lvl w:ilvl="0" w:tplc="79367BA0">
      <w:start w:val="1"/>
      <w:numFmt w:val="decimal"/>
      <w:pStyle w:val="Numberedlist"/>
      <w:lvlText w:val="(%1)"/>
      <w:lvlJc w:val="right"/>
      <w:pPr>
        <w:ind w:left="720" w:hanging="153"/>
      </w:pPr>
      <w:rPr>
        <w:rFonts w:hint="default"/>
      </w:rPr>
    </w:lvl>
    <w:lvl w:ilvl="1" w:tplc="FE3AC208">
      <w:start w:val="1"/>
      <w:numFmt w:val="lowerLetter"/>
      <w:lvlText w:val="(%2)"/>
      <w:lvlJc w:val="left"/>
      <w:pPr>
        <w:ind w:left="1440" w:hanging="360"/>
      </w:pPr>
      <w:rPr>
        <w:rFonts w:hint="default"/>
      </w:rPr>
    </w:lvl>
    <w:lvl w:ilvl="2" w:tplc="77E4D7DE">
      <w:start w:val="1"/>
      <w:numFmt w:val="lowerRoman"/>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0B4615D"/>
    <w:multiLevelType w:val="hybridMultilevel"/>
    <w:tmpl w:val="0CEC2170"/>
    <w:lvl w:ilvl="0" w:tplc="F0FA6376">
      <w:start w:val="1"/>
      <w:numFmt w:val="lowerRoman"/>
      <w:pStyle w:val="Kop6"/>
      <w:lvlText w:val="%1."/>
      <w:lvlJc w:val="righ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3" w15:restartNumberingAfterBreak="0">
    <w:nsid w:val="595D0E4F"/>
    <w:multiLevelType w:val="multilevel"/>
    <w:tmpl w:val="B4965DAE"/>
    <w:lvl w:ilvl="0">
      <w:start w:val="1"/>
      <w:numFmt w:val="upperRoman"/>
      <w:pStyle w:val="Kop3"/>
      <w:lvlText w:val="%1."/>
      <w:lvlJc w:val="righ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BD96BF8"/>
    <w:multiLevelType w:val="hybridMultilevel"/>
    <w:tmpl w:val="76D2C65A"/>
    <w:lvl w:ilvl="0" w:tplc="0456C424">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2FD5FE0"/>
    <w:multiLevelType w:val="hybridMultilevel"/>
    <w:tmpl w:val="213A0A5A"/>
    <w:lvl w:ilvl="0" w:tplc="0298F1E2">
      <w:start w:val="1"/>
      <w:numFmt w:val="lowerLetter"/>
      <w:pStyle w:val="Kop5"/>
      <w:lvlText w:val="%1."/>
      <w:lvlJc w:val="left"/>
      <w:pPr>
        <w:ind w:left="1080" w:hanging="360"/>
      </w:pPr>
    </w:lvl>
    <w:lvl w:ilvl="1" w:tplc="100C0019">
      <w:start w:val="1"/>
      <w:numFmt w:val="lowerLetter"/>
      <w:lvlText w:val="%2."/>
      <w:lvlJc w:val="left"/>
      <w:pPr>
        <w:ind w:left="1800" w:hanging="360"/>
      </w:pPr>
    </w:lvl>
    <w:lvl w:ilvl="2" w:tplc="7A7E960A">
      <w:start w:val="1"/>
      <w:numFmt w:val="decimal"/>
      <w:lvlText w:val="%3."/>
      <w:lvlJc w:val="left"/>
      <w:pPr>
        <w:ind w:left="501" w:hanging="360"/>
      </w:pPr>
      <w:rPr>
        <w:rFonts w:hint="default"/>
        <w:b/>
        <w:bCs/>
      </w:rPr>
    </w:lvl>
    <w:lvl w:ilvl="3" w:tplc="100C000F" w:tentative="1">
      <w:start w:val="1"/>
      <w:numFmt w:val="decimal"/>
      <w:lvlText w:val="%4."/>
      <w:lvlJc w:val="left"/>
      <w:pPr>
        <w:ind w:left="3240" w:hanging="360"/>
      </w:pPr>
    </w:lvl>
    <w:lvl w:ilvl="4" w:tplc="100C0019" w:tentative="1">
      <w:start w:val="1"/>
      <w:numFmt w:val="lowerLetter"/>
      <w:lvlText w:val="%5."/>
      <w:lvlJc w:val="left"/>
      <w:pPr>
        <w:ind w:left="3960" w:hanging="360"/>
      </w:pPr>
    </w:lvl>
    <w:lvl w:ilvl="5" w:tplc="100C001B" w:tentative="1">
      <w:start w:val="1"/>
      <w:numFmt w:val="lowerRoman"/>
      <w:lvlText w:val="%6."/>
      <w:lvlJc w:val="right"/>
      <w:pPr>
        <w:ind w:left="4680" w:hanging="180"/>
      </w:pPr>
    </w:lvl>
    <w:lvl w:ilvl="6" w:tplc="100C000F" w:tentative="1">
      <w:start w:val="1"/>
      <w:numFmt w:val="decimal"/>
      <w:lvlText w:val="%7."/>
      <w:lvlJc w:val="left"/>
      <w:pPr>
        <w:ind w:left="5400" w:hanging="360"/>
      </w:pPr>
    </w:lvl>
    <w:lvl w:ilvl="7" w:tplc="100C0019" w:tentative="1">
      <w:start w:val="1"/>
      <w:numFmt w:val="lowerLetter"/>
      <w:lvlText w:val="%8."/>
      <w:lvlJc w:val="left"/>
      <w:pPr>
        <w:ind w:left="6120" w:hanging="360"/>
      </w:pPr>
    </w:lvl>
    <w:lvl w:ilvl="8" w:tplc="100C001B" w:tentative="1">
      <w:start w:val="1"/>
      <w:numFmt w:val="lowerRoman"/>
      <w:lvlText w:val="%9."/>
      <w:lvlJc w:val="right"/>
      <w:pPr>
        <w:ind w:left="6840" w:hanging="180"/>
      </w:pPr>
    </w:lvl>
  </w:abstractNum>
  <w:num w:numId="1" w16cid:durableId="1577403148">
    <w:abstractNumId w:val="5"/>
  </w:num>
  <w:num w:numId="2" w16cid:durableId="510409911">
    <w:abstractNumId w:val="2"/>
  </w:num>
  <w:num w:numId="3" w16cid:durableId="1303533677">
    <w:abstractNumId w:val="3"/>
  </w:num>
  <w:num w:numId="4" w16cid:durableId="1826049762">
    <w:abstractNumId w:val="0"/>
  </w:num>
  <w:num w:numId="5" w16cid:durableId="1875918706">
    <w:abstractNumId w:val="1"/>
  </w:num>
  <w:num w:numId="6" w16cid:durableId="1448626368">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3078"/>
    <w:rsid w:val="0001132C"/>
    <w:rsid w:val="00045A20"/>
    <w:rsid w:val="00052955"/>
    <w:rsid w:val="00057A7B"/>
    <w:rsid w:val="00066A77"/>
    <w:rsid w:val="00095AA1"/>
    <w:rsid w:val="000C16D1"/>
    <w:rsid w:val="000F1A95"/>
    <w:rsid w:val="000F3317"/>
    <w:rsid w:val="00101F8F"/>
    <w:rsid w:val="001073BB"/>
    <w:rsid w:val="00156171"/>
    <w:rsid w:val="00163076"/>
    <w:rsid w:val="00173E8D"/>
    <w:rsid w:val="00195C8C"/>
    <w:rsid w:val="001D3A4F"/>
    <w:rsid w:val="001D529D"/>
    <w:rsid w:val="00205F2F"/>
    <w:rsid w:val="002067DD"/>
    <w:rsid w:val="00206846"/>
    <w:rsid w:val="00207260"/>
    <w:rsid w:val="00217274"/>
    <w:rsid w:val="00224039"/>
    <w:rsid w:val="00233DA6"/>
    <w:rsid w:val="00251F88"/>
    <w:rsid w:val="002530B2"/>
    <w:rsid w:val="00256343"/>
    <w:rsid w:val="002867E9"/>
    <w:rsid w:val="002B464B"/>
    <w:rsid w:val="002E036D"/>
    <w:rsid w:val="003004C6"/>
    <w:rsid w:val="00335D89"/>
    <w:rsid w:val="00361874"/>
    <w:rsid w:val="003A47AA"/>
    <w:rsid w:val="003E5F1A"/>
    <w:rsid w:val="003F25CE"/>
    <w:rsid w:val="003F5BA7"/>
    <w:rsid w:val="004758C7"/>
    <w:rsid w:val="004D3CF8"/>
    <w:rsid w:val="004E5360"/>
    <w:rsid w:val="0052544B"/>
    <w:rsid w:val="00592931"/>
    <w:rsid w:val="00593188"/>
    <w:rsid w:val="005C4593"/>
    <w:rsid w:val="005D056D"/>
    <w:rsid w:val="005E71C9"/>
    <w:rsid w:val="00602B02"/>
    <w:rsid w:val="00614265"/>
    <w:rsid w:val="0063350B"/>
    <w:rsid w:val="00636C7B"/>
    <w:rsid w:val="00662685"/>
    <w:rsid w:val="0068586A"/>
    <w:rsid w:val="00691163"/>
    <w:rsid w:val="006B05A1"/>
    <w:rsid w:val="006B6B02"/>
    <w:rsid w:val="006D4180"/>
    <w:rsid w:val="00700B5C"/>
    <w:rsid w:val="007020A4"/>
    <w:rsid w:val="00710A93"/>
    <w:rsid w:val="00760BF3"/>
    <w:rsid w:val="007947B6"/>
    <w:rsid w:val="00796703"/>
    <w:rsid w:val="007C55F9"/>
    <w:rsid w:val="007D104A"/>
    <w:rsid w:val="007F3C70"/>
    <w:rsid w:val="008161E0"/>
    <w:rsid w:val="008356D3"/>
    <w:rsid w:val="008357F7"/>
    <w:rsid w:val="008547C4"/>
    <w:rsid w:val="00857F35"/>
    <w:rsid w:val="00862E03"/>
    <w:rsid w:val="00871018"/>
    <w:rsid w:val="008A0DC7"/>
    <w:rsid w:val="008A48CE"/>
    <w:rsid w:val="00900697"/>
    <w:rsid w:val="00903B71"/>
    <w:rsid w:val="00906515"/>
    <w:rsid w:val="00921F39"/>
    <w:rsid w:val="00952FCE"/>
    <w:rsid w:val="00983571"/>
    <w:rsid w:val="00984A5C"/>
    <w:rsid w:val="00A00CEA"/>
    <w:rsid w:val="00A035D4"/>
    <w:rsid w:val="00A1756B"/>
    <w:rsid w:val="00A31123"/>
    <w:rsid w:val="00A350F5"/>
    <w:rsid w:val="00A64244"/>
    <w:rsid w:val="00A6434E"/>
    <w:rsid w:val="00A64572"/>
    <w:rsid w:val="00AB029D"/>
    <w:rsid w:val="00AD1797"/>
    <w:rsid w:val="00AF45BF"/>
    <w:rsid w:val="00B00BBF"/>
    <w:rsid w:val="00B01492"/>
    <w:rsid w:val="00B06D94"/>
    <w:rsid w:val="00B32A5E"/>
    <w:rsid w:val="00B3510D"/>
    <w:rsid w:val="00B3657D"/>
    <w:rsid w:val="00B83A39"/>
    <w:rsid w:val="00B95D00"/>
    <w:rsid w:val="00BA0EA7"/>
    <w:rsid w:val="00BC5EB7"/>
    <w:rsid w:val="00BD5133"/>
    <w:rsid w:val="00BE2F9A"/>
    <w:rsid w:val="00BF4EC6"/>
    <w:rsid w:val="00C03497"/>
    <w:rsid w:val="00C10968"/>
    <w:rsid w:val="00C16ED8"/>
    <w:rsid w:val="00C20F43"/>
    <w:rsid w:val="00C64340"/>
    <w:rsid w:val="00C97878"/>
    <w:rsid w:val="00CA3E21"/>
    <w:rsid w:val="00CA5806"/>
    <w:rsid w:val="00CB3409"/>
    <w:rsid w:val="00CC5602"/>
    <w:rsid w:val="00CE4057"/>
    <w:rsid w:val="00CF73DB"/>
    <w:rsid w:val="00D014EF"/>
    <w:rsid w:val="00D30A8D"/>
    <w:rsid w:val="00D40A9B"/>
    <w:rsid w:val="00D723DA"/>
    <w:rsid w:val="00D90454"/>
    <w:rsid w:val="00D91994"/>
    <w:rsid w:val="00DB5D7B"/>
    <w:rsid w:val="00DC7041"/>
    <w:rsid w:val="00DD7312"/>
    <w:rsid w:val="00DF47A8"/>
    <w:rsid w:val="00DF69F6"/>
    <w:rsid w:val="00E0136F"/>
    <w:rsid w:val="00E56F51"/>
    <w:rsid w:val="00E60A3E"/>
    <w:rsid w:val="00E60CD0"/>
    <w:rsid w:val="00E808D9"/>
    <w:rsid w:val="00EE0159"/>
    <w:rsid w:val="00EF1FCB"/>
    <w:rsid w:val="00EF48EB"/>
    <w:rsid w:val="00EF65BB"/>
    <w:rsid w:val="00F53078"/>
    <w:rsid w:val="00F5627F"/>
    <w:rsid w:val="00FB2700"/>
    <w:rsid w:val="0DEFB8EF"/>
    <w:rsid w:val="1FB39DA7"/>
    <w:rsid w:val="26C35CF0"/>
    <w:rsid w:val="2C8F8299"/>
    <w:rsid w:val="5F18F45B"/>
    <w:rsid w:val="63D33D21"/>
    <w:rsid w:val="64492034"/>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F1E584"/>
  <w15:chartTrackingRefBased/>
  <w15:docId w15:val="{255E26A0-7717-4088-8447-3B78F1D9E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A0EA7"/>
    <w:pPr>
      <w:spacing w:line="240" w:lineRule="auto"/>
      <w:jc w:val="both"/>
    </w:pPr>
  </w:style>
  <w:style w:type="paragraph" w:styleId="Kop1">
    <w:name w:val="heading 1"/>
    <w:basedOn w:val="Standaard"/>
    <w:next w:val="Standaard"/>
    <w:link w:val="Kop1Char"/>
    <w:qFormat/>
    <w:rsid w:val="007F3C70"/>
    <w:pPr>
      <w:keepNext/>
      <w:keepLines/>
      <w:spacing w:before="240" w:after="0"/>
      <w:outlineLvl w:val="0"/>
    </w:pPr>
    <w:rPr>
      <w:rFonts w:ascii="Calibri" w:eastAsiaTheme="majorEastAsia" w:hAnsi="Calibri" w:cstheme="majorBidi"/>
      <w:b/>
      <w:color w:val="4F4297"/>
      <w:sz w:val="32"/>
      <w:szCs w:val="32"/>
    </w:rPr>
  </w:style>
  <w:style w:type="paragraph" w:styleId="Kop2">
    <w:name w:val="heading 2"/>
    <w:basedOn w:val="Standaard"/>
    <w:next w:val="Standaard"/>
    <w:link w:val="Kop2Char"/>
    <w:unhideWhenUsed/>
    <w:qFormat/>
    <w:rsid w:val="002067DD"/>
    <w:pPr>
      <w:keepNext/>
      <w:keepLines/>
      <w:spacing w:before="40" w:after="0"/>
      <w:outlineLvl w:val="1"/>
    </w:pPr>
    <w:rPr>
      <w:rFonts w:asciiTheme="majorHAnsi" w:eastAsiaTheme="majorEastAsia" w:hAnsiTheme="majorHAnsi" w:cstheme="majorBidi"/>
      <w:b/>
      <w:color w:val="32BDE6"/>
      <w:sz w:val="26"/>
      <w:szCs w:val="26"/>
    </w:rPr>
  </w:style>
  <w:style w:type="paragraph" w:styleId="Kop3">
    <w:name w:val="heading 3"/>
    <w:basedOn w:val="Standaard"/>
    <w:next w:val="Standaard"/>
    <w:link w:val="Kop3Char"/>
    <w:unhideWhenUsed/>
    <w:qFormat/>
    <w:rsid w:val="002067DD"/>
    <w:pPr>
      <w:keepNext/>
      <w:keepLines/>
      <w:numPr>
        <w:numId w:val="3"/>
      </w:numPr>
      <w:spacing w:before="40" w:after="0"/>
      <w:outlineLvl w:val="2"/>
    </w:pPr>
    <w:rPr>
      <w:rFonts w:asciiTheme="majorHAnsi" w:eastAsiaTheme="majorEastAsia" w:hAnsiTheme="majorHAnsi" w:cstheme="majorBidi"/>
      <w:color w:val="4F4297"/>
      <w:sz w:val="24"/>
      <w:szCs w:val="24"/>
    </w:rPr>
  </w:style>
  <w:style w:type="paragraph" w:styleId="Kop4">
    <w:name w:val="heading 4"/>
    <w:basedOn w:val="Standaard"/>
    <w:next w:val="Standaard"/>
    <w:link w:val="Kop4Char"/>
    <w:unhideWhenUsed/>
    <w:qFormat/>
    <w:rsid w:val="002067DD"/>
    <w:pPr>
      <w:keepNext/>
      <w:keepLines/>
      <w:numPr>
        <w:numId w:val="4"/>
      </w:numPr>
      <w:spacing w:before="40"/>
      <w:outlineLvl w:val="3"/>
    </w:pPr>
    <w:rPr>
      <w:rFonts w:asciiTheme="majorHAnsi" w:eastAsiaTheme="majorEastAsia" w:hAnsiTheme="majorHAnsi" w:cstheme="majorBidi"/>
      <w:i/>
      <w:iCs/>
      <w:color w:val="3773B9"/>
    </w:rPr>
  </w:style>
  <w:style w:type="paragraph" w:styleId="Kop5">
    <w:name w:val="heading 5"/>
    <w:basedOn w:val="Standaard"/>
    <w:next w:val="Standaard"/>
    <w:link w:val="Kop5Char"/>
    <w:uiPriority w:val="9"/>
    <w:unhideWhenUsed/>
    <w:qFormat/>
    <w:rsid w:val="00662685"/>
    <w:pPr>
      <w:keepNext/>
      <w:keepLines/>
      <w:numPr>
        <w:numId w:val="1"/>
      </w:numPr>
      <w:spacing w:before="240" w:after="120" w:line="276" w:lineRule="auto"/>
      <w:ind w:left="1077" w:hanging="357"/>
      <w:outlineLvl w:val="4"/>
    </w:pPr>
    <w:rPr>
      <w:rFonts w:eastAsia="Calibri" w:cs="Calibri"/>
      <w:b/>
      <w:lang w:val="en-GB" w:eastAsia="fr-CH"/>
    </w:rPr>
  </w:style>
  <w:style w:type="paragraph" w:styleId="Kop6">
    <w:name w:val="heading 6"/>
    <w:basedOn w:val="Standaard"/>
    <w:next w:val="Standaard"/>
    <w:link w:val="Kop6Char"/>
    <w:uiPriority w:val="9"/>
    <w:unhideWhenUsed/>
    <w:qFormat/>
    <w:rsid w:val="00662685"/>
    <w:pPr>
      <w:keepNext/>
      <w:keepLines/>
      <w:numPr>
        <w:numId w:val="2"/>
      </w:numPr>
      <w:spacing w:before="240" w:after="120" w:line="276" w:lineRule="auto"/>
      <w:ind w:left="714" w:hanging="357"/>
      <w:outlineLvl w:val="5"/>
    </w:pPr>
    <w:rPr>
      <w:rFonts w:eastAsia="Calibri" w:cs="Calibri"/>
      <w:b/>
      <w:sz w:val="20"/>
      <w:szCs w:val="20"/>
      <w:lang w:val="en-GB" w:eastAsia="fr-CH"/>
    </w:rPr>
  </w:style>
  <w:style w:type="paragraph" w:styleId="Kop7">
    <w:name w:val="heading 7"/>
    <w:basedOn w:val="Standaard"/>
    <w:next w:val="Standaard"/>
    <w:link w:val="Kop7Char"/>
    <w:uiPriority w:val="9"/>
    <w:semiHidden/>
    <w:unhideWhenUsed/>
    <w:qFormat/>
    <w:rsid w:val="002067DD"/>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Kop8">
    <w:name w:val="heading 8"/>
    <w:basedOn w:val="Standaard"/>
    <w:next w:val="Standaard"/>
    <w:link w:val="Kop8Char"/>
    <w:uiPriority w:val="9"/>
    <w:semiHidden/>
    <w:unhideWhenUsed/>
    <w:qFormat/>
    <w:rsid w:val="00CC5602"/>
    <w:pPr>
      <w:keepNext/>
      <w:keepLines/>
      <w:spacing w:after="0" w:line="278" w:lineRule="auto"/>
      <w:jc w:val="left"/>
      <w:outlineLvl w:val="7"/>
    </w:pPr>
    <w:rPr>
      <w:rFonts w:eastAsiaTheme="majorEastAsia" w:cstheme="majorBidi"/>
      <w:i/>
      <w:iCs/>
      <w:color w:val="272727" w:themeColor="text1" w:themeTint="D8"/>
      <w:kern w:val="2"/>
      <w:sz w:val="24"/>
      <w:szCs w:val="24"/>
      <w:lang w:val="en-US"/>
      <w14:ligatures w14:val="standardContextual"/>
    </w:rPr>
  </w:style>
  <w:style w:type="paragraph" w:styleId="Kop9">
    <w:name w:val="heading 9"/>
    <w:basedOn w:val="Standaard"/>
    <w:next w:val="Standaard"/>
    <w:link w:val="Kop9Char"/>
    <w:uiPriority w:val="9"/>
    <w:semiHidden/>
    <w:unhideWhenUsed/>
    <w:qFormat/>
    <w:rsid w:val="00CC5602"/>
    <w:pPr>
      <w:keepNext/>
      <w:keepLines/>
      <w:spacing w:after="0" w:line="278" w:lineRule="auto"/>
      <w:jc w:val="left"/>
      <w:outlineLvl w:val="8"/>
    </w:pPr>
    <w:rPr>
      <w:rFonts w:eastAsiaTheme="majorEastAsia" w:cstheme="majorBidi"/>
      <w:color w:val="272727" w:themeColor="text1" w:themeTint="D8"/>
      <w:kern w:val="2"/>
      <w:sz w:val="24"/>
      <w:szCs w:val="24"/>
      <w:lang w:val="en-US"/>
      <w14:ligatures w14:val="standardContextu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0C16D1"/>
    <w:rPr>
      <w:color w:val="0563C1" w:themeColor="hyperlink"/>
      <w:u w:val="single"/>
    </w:rPr>
  </w:style>
  <w:style w:type="character" w:styleId="Onopgelostemelding">
    <w:name w:val="Unresolved Mention"/>
    <w:basedOn w:val="Standaardalinea-lettertype"/>
    <w:uiPriority w:val="99"/>
    <w:semiHidden/>
    <w:unhideWhenUsed/>
    <w:rsid w:val="000C16D1"/>
    <w:rPr>
      <w:color w:val="605E5C"/>
      <w:shd w:val="clear" w:color="auto" w:fill="E1DFDD"/>
    </w:rPr>
  </w:style>
  <w:style w:type="paragraph" w:styleId="Lijstalinea">
    <w:name w:val="List Paragraph"/>
    <w:basedOn w:val="Standaard"/>
    <w:qFormat/>
    <w:rsid w:val="000C16D1"/>
    <w:pPr>
      <w:ind w:left="720"/>
      <w:contextualSpacing/>
    </w:pPr>
  </w:style>
  <w:style w:type="paragraph" w:styleId="Koptekst">
    <w:name w:val="header"/>
    <w:basedOn w:val="Standaard"/>
    <w:link w:val="KoptekstChar"/>
    <w:unhideWhenUsed/>
    <w:rsid w:val="00B95D00"/>
    <w:pPr>
      <w:tabs>
        <w:tab w:val="center" w:pos="4536"/>
        <w:tab w:val="right" w:pos="9072"/>
      </w:tabs>
      <w:spacing w:after="0"/>
    </w:pPr>
  </w:style>
  <w:style w:type="character" w:customStyle="1" w:styleId="KoptekstChar">
    <w:name w:val="Koptekst Char"/>
    <w:basedOn w:val="Standaardalinea-lettertype"/>
    <w:link w:val="Koptekst"/>
    <w:rsid w:val="00B95D00"/>
  </w:style>
  <w:style w:type="paragraph" w:styleId="Voettekst">
    <w:name w:val="footer"/>
    <w:basedOn w:val="Standaard"/>
    <w:link w:val="VoettekstChar"/>
    <w:unhideWhenUsed/>
    <w:rsid w:val="00B95D00"/>
    <w:pPr>
      <w:tabs>
        <w:tab w:val="center" w:pos="4536"/>
        <w:tab w:val="right" w:pos="9072"/>
      </w:tabs>
      <w:spacing w:after="0"/>
    </w:pPr>
  </w:style>
  <w:style w:type="character" w:customStyle="1" w:styleId="VoettekstChar">
    <w:name w:val="Voettekst Char"/>
    <w:basedOn w:val="Standaardalinea-lettertype"/>
    <w:link w:val="Voettekst"/>
    <w:rsid w:val="00B95D00"/>
  </w:style>
  <w:style w:type="character" w:styleId="GevolgdeHyperlink">
    <w:name w:val="FollowedHyperlink"/>
    <w:basedOn w:val="Standaardalinea-lettertype"/>
    <w:uiPriority w:val="99"/>
    <w:semiHidden/>
    <w:unhideWhenUsed/>
    <w:rsid w:val="003F25CE"/>
    <w:rPr>
      <w:color w:val="954F72" w:themeColor="followedHyperlink"/>
      <w:u w:val="single"/>
    </w:rPr>
  </w:style>
  <w:style w:type="character" w:customStyle="1" w:styleId="jsgrdq">
    <w:name w:val="jsgrdq"/>
    <w:basedOn w:val="Standaardalinea-lettertype"/>
    <w:rsid w:val="00205F2F"/>
  </w:style>
  <w:style w:type="character" w:customStyle="1" w:styleId="Kop1Char">
    <w:name w:val="Kop 1 Char"/>
    <w:basedOn w:val="Standaardalinea-lettertype"/>
    <w:link w:val="Kop1"/>
    <w:rsid w:val="007F3C70"/>
    <w:rPr>
      <w:rFonts w:ascii="Calibri" w:eastAsiaTheme="majorEastAsia" w:hAnsi="Calibri" w:cstheme="majorBidi"/>
      <w:b/>
      <w:color w:val="4F4297"/>
      <w:sz w:val="32"/>
      <w:szCs w:val="32"/>
    </w:rPr>
  </w:style>
  <w:style w:type="character" w:customStyle="1" w:styleId="Kop2Char">
    <w:name w:val="Kop 2 Char"/>
    <w:basedOn w:val="Standaardalinea-lettertype"/>
    <w:link w:val="Kop2"/>
    <w:rsid w:val="002067DD"/>
    <w:rPr>
      <w:rFonts w:asciiTheme="majorHAnsi" w:eastAsiaTheme="majorEastAsia" w:hAnsiTheme="majorHAnsi" w:cstheme="majorBidi"/>
      <w:b/>
      <w:color w:val="32BDE6"/>
      <w:sz w:val="26"/>
      <w:szCs w:val="26"/>
    </w:rPr>
  </w:style>
  <w:style w:type="paragraph" w:styleId="Titel">
    <w:name w:val="Title"/>
    <w:basedOn w:val="Standaard"/>
    <w:next w:val="Standaard"/>
    <w:link w:val="TitelChar"/>
    <w:uiPriority w:val="10"/>
    <w:qFormat/>
    <w:rsid w:val="002067DD"/>
    <w:pPr>
      <w:spacing w:after="0"/>
      <w:contextualSpacing/>
    </w:pPr>
    <w:rPr>
      <w:rFonts w:asciiTheme="majorHAnsi" w:eastAsiaTheme="majorEastAsia" w:hAnsiTheme="majorHAnsi" w:cstheme="majorBidi"/>
      <w:color w:val="4F4297"/>
      <w:spacing w:val="-10"/>
      <w:kern w:val="28"/>
      <w:sz w:val="56"/>
      <w:szCs w:val="56"/>
    </w:rPr>
  </w:style>
  <w:style w:type="character" w:customStyle="1" w:styleId="TitelChar">
    <w:name w:val="Titel Char"/>
    <w:basedOn w:val="Standaardalinea-lettertype"/>
    <w:link w:val="Titel"/>
    <w:uiPriority w:val="10"/>
    <w:rsid w:val="002067DD"/>
    <w:rPr>
      <w:rFonts w:asciiTheme="majorHAnsi" w:eastAsiaTheme="majorEastAsia" w:hAnsiTheme="majorHAnsi" w:cstheme="majorBidi"/>
      <w:color w:val="4F4297"/>
      <w:spacing w:val="-10"/>
      <w:kern w:val="28"/>
      <w:sz w:val="56"/>
      <w:szCs w:val="56"/>
    </w:rPr>
  </w:style>
  <w:style w:type="character" w:styleId="Verwijzingopmerking">
    <w:name w:val="annotation reference"/>
    <w:basedOn w:val="Standaardalinea-lettertype"/>
    <w:semiHidden/>
    <w:unhideWhenUsed/>
    <w:rsid w:val="00983571"/>
    <w:rPr>
      <w:sz w:val="16"/>
      <w:szCs w:val="16"/>
    </w:rPr>
  </w:style>
  <w:style w:type="paragraph" w:styleId="Tekstopmerking">
    <w:name w:val="annotation text"/>
    <w:basedOn w:val="Standaard"/>
    <w:link w:val="TekstopmerkingChar"/>
    <w:unhideWhenUsed/>
    <w:rsid w:val="00983571"/>
    <w:rPr>
      <w:rFonts w:eastAsia="Calibri" w:cs="Calibri"/>
      <w:sz w:val="20"/>
      <w:szCs w:val="20"/>
      <w:lang w:val="en-GB" w:eastAsia="fr-CH"/>
    </w:rPr>
  </w:style>
  <w:style w:type="character" w:customStyle="1" w:styleId="TekstopmerkingChar">
    <w:name w:val="Tekst opmerking Char"/>
    <w:basedOn w:val="Standaardalinea-lettertype"/>
    <w:link w:val="Tekstopmerking"/>
    <w:rsid w:val="00983571"/>
    <w:rPr>
      <w:rFonts w:eastAsia="Calibri" w:cs="Calibri"/>
      <w:sz w:val="20"/>
      <w:szCs w:val="20"/>
      <w:lang w:val="en-GB" w:eastAsia="fr-CH"/>
    </w:rPr>
  </w:style>
  <w:style w:type="table" w:styleId="Tabelraster">
    <w:name w:val="Table Grid"/>
    <w:aliases w:val="TABLE LEGITIMULT"/>
    <w:basedOn w:val="Standaardtabel"/>
    <w:uiPriority w:val="39"/>
    <w:rsid w:val="00983571"/>
    <w:pPr>
      <w:spacing w:after="0" w:line="240" w:lineRule="auto"/>
    </w:pPr>
    <w:rPr>
      <w:rFonts w:ascii="Calibri" w:eastAsia="Calibri" w:hAnsi="Calibri" w:cs="Calibri"/>
      <w:lang w:val="en-US" w:eastAsia="fr-CH"/>
    </w:rPr>
    <w:tblPr>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band2Vert">
      <w:rPr>
        <w:rFonts w:ascii="Source Sans Pro" w:hAnsi="Source Sans Pro"/>
      </w:rPr>
    </w:tblStylePr>
  </w:style>
  <w:style w:type="paragraph" w:styleId="Ballontekst">
    <w:name w:val="Balloon Text"/>
    <w:basedOn w:val="Standaard"/>
    <w:link w:val="BallontekstChar"/>
    <w:uiPriority w:val="99"/>
    <w:semiHidden/>
    <w:unhideWhenUsed/>
    <w:rsid w:val="00983571"/>
    <w:pPr>
      <w:spacing w:after="0"/>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983571"/>
    <w:rPr>
      <w:rFonts w:ascii="Segoe UI" w:hAnsi="Segoe UI" w:cs="Segoe UI"/>
      <w:sz w:val="18"/>
      <w:szCs w:val="18"/>
    </w:rPr>
  </w:style>
  <w:style w:type="character" w:customStyle="1" w:styleId="Kop3Char">
    <w:name w:val="Kop 3 Char"/>
    <w:basedOn w:val="Standaardalinea-lettertype"/>
    <w:link w:val="Kop3"/>
    <w:rsid w:val="002067DD"/>
    <w:rPr>
      <w:rFonts w:asciiTheme="majorHAnsi" w:eastAsiaTheme="majorEastAsia" w:hAnsiTheme="majorHAnsi" w:cstheme="majorBidi"/>
      <w:color w:val="4F4297"/>
      <w:sz w:val="24"/>
      <w:szCs w:val="24"/>
    </w:rPr>
  </w:style>
  <w:style w:type="paragraph" w:styleId="Geenafstand">
    <w:name w:val="No Spacing"/>
    <w:uiPriority w:val="1"/>
    <w:qFormat/>
    <w:rsid w:val="00983571"/>
    <w:pPr>
      <w:spacing w:after="0" w:line="240" w:lineRule="auto"/>
      <w:ind w:firstLine="567"/>
    </w:pPr>
  </w:style>
  <w:style w:type="character" w:customStyle="1" w:styleId="Kop4Char">
    <w:name w:val="Kop 4 Char"/>
    <w:basedOn w:val="Standaardalinea-lettertype"/>
    <w:link w:val="Kop4"/>
    <w:rsid w:val="002067DD"/>
    <w:rPr>
      <w:rFonts w:asciiTheme="majorHAnsi" w:eastAsiaTheme="majorEastAsia" w:hAnsiTheme="majorHAnsi" w:cstheme="majorBidi"/>
      <w:i/>
      <w:iCs/>
      <w:color w:val="3773B9"/>
    </w:rPr>
  </w:style>
  <w:style w:type="character" w:customStyle="1" w:styleId="Kop5Char">
    <w:name w:val="Kop 5 Char"/>
    <w:basedOn w:val="Standaardalinea-lettertype"/>
    <w:link w:val="Kop5"/>
    <w:uiPriority w:val="9"/>
    <w:rsid w:val="00662685"/>
    <w:rPr>
      <w:rFonts w:eastAsia="Calibri" w:cs="Calibri"/>
      <w:b/>
      <w:lang w:val="en-GB" w:eastAsia="fr-CH"/>
    </w:rPr>
  </w:style>
  <w:style w:type="character" w:customStyle="1" w:styleId="Kop6Char">
    <w:name w:val="Kop 6 Char"/>
    <w:basedOn w:val="Standaardalinea-lettertype"/>
    <w:link w:val="Kop6"/>
    <w:uiPriority w:val="9"/>
    <w:rsid w:val="00662685"/>
    <w:rPr>
      <w:rFonts w:eastAsia="Calibri" w:cs="Calibri"/>
      <w:b/>
      <w:sz w:val="20"/>
      <w:szCs w:val="20"/>
      <w:lang w:val="en-GB" w:eastAsia="fr-CH"/>
    </w:rPr>
  </w:style>
  <w:style w:type="table" w:customStyle="1" w:styleId="TableNormal1">
    <w:name w:val="Table Normal1"/>
    <w:rsid w:val="00662685"/>
    <w:rPr>
      <w:rFonts w:ascii="Calibri" w:eastAsia="Calibri" w:hAnsi="Calibri" w:cs="Calibri"/>
      <w:lang w:val="en-US" w:eastAsia="fr-CH"/>
    </w:rPr>
    <w:tblPr>
      <w:tblCellMar>
        <w:top w:w="0" w:type="dxa"/>
        <w:left w:w="0" w:type="dxa"/>
        <w:bottom w:w="0" w:type="dxa"/>
        <w:right w:w="0" w:type="dxa"/>
      </w:tblCellMar>
    </w:tblPr>
  </w:style>
  <w:style w:type="table" w:customStyle="1" w:styleId="TableNormal2">
    <w:name w:val="Table Normal2"/>
    <w:rsid w:val="00662685"/>
    <w:rPr>
      <w:rFonts w:ascii="Calibri" w:eastAsia="Calibri" w:hAnsi="Calibri" w:cs="Calibri"/>
      <w:lang w:val="en-US" w:eastAsia="fr-CH"/>
    </w:rPr>
    <w:tblPr>
      <w:tblCellMar>
        <w:top w:w="0" w:type="dxa"/>
        <w:left w:w="0" w:type="dxa"/>
        <w:bottom w:w="0" w:type="dxa"/>
        <w:right w:w="0" w:type="dxa"/>
      </w:tblCellMar>
    </w:tblPr>
  </w:style>
  <w:style w:type="paragraph" w:styleId="Normaalweb">
    <w:name w:val="Normal (Web)"/>
    <w:basedOn w:val="Standaard"/>
    <w:semiHidden/>
    <w:unhideWhenUsed/>
    <w:rsid w:val="00662685"/>
    <w:pPr>
      <w:spacing w:before="100" w:beforeAutospacing="1" w:after="100" w:afterAutospacing="1"/>
    </w:pPr>
    <w:rPr>
      <w:rFonts w:eastAsia="Calibri" w:cs="Calibri"/>
      <w:lang w:val="en-GB" w:eastAsia="fr-CH"/>
    </w:rPr>
  </w:style>
  <w:style w:type="paragraph" w:styleId="Plattetekst">
    <w:name w:val="Body Text"/>
    <w:basedOn w:val="Standaard"/>
    <w:link w:val="PlattetekstChar"/>
    <w:uiPriority w:val="1"/>
    <w:qFormat/>
    <w:rsid w:val="00662685"/>
    <w:pPr>
      <w:widowControl w:val="0"/>
      <w:spacing w:after="0"/>
      <w:ind w:left="320" w:firstLine="200"/>
    </w:pPr>
    <w:rPr>
      <w:rFonts w:eastAsia="Arial" w:cs="Calibri"/>
      <w:szCs w:val="18"/>
      <w:lang w:val="en-GB" w:eastAsia="fr-CH"/>
    </w:rPr>
  </w:style>
  <w:style w:type="character" w:customStyle="1" w:styleId="PlattetekstChar">
    <w:name w:val="Platte tekst Char"/>
    <w:basedOn w:val="Standaardalinea-lettertype"/>
    <w:link w:val="Plattetekst"/>
    <w:uiPriority w:val="1"/>
    <w:rsid w:val="00662685"/>
    <w:rPr>
      <w:rFonts w:eastAsia="Arial" w:cs="Calibri"/>
      <w:szCs w:val="18"/>
      <w:lang w:val="en-GB" w:eastAsia="fr-CH"/>
    </w:rPr>
  </w:style>
  <w:style w:type="paragraph" w:styleId="Onderwerpvanopmerking">
    <w:name w:val="annotation subject"/>
    <w:basedOn w:val="Tekstopmerking"/>
    <w:next w:val="Tekstopmerking"/>
    <w:link w:val="OnderwerpvanopmerkingChar"/>
    <w:semiHidden/>
    <w:unhideWhenUsed/>
    <w:rsid w:val="00662685"/>
    <w:rPr>
      <w:b/>
      <w:bCs/>
    </w:rPr>
  </w:style>
  <w:style w:type="character" w:customStyle="1" w:styleId="OnderwerpvanopmerkingChar">
    <w:name w:val="Onderwerp van opmerking Char"/>
    <w:basedOn w:val="TekstopmerkingChar"/>
    <w:link w:val="Onderwerpvanopmerking"/>
    <w:semiHidden/>
    <w:rsid w:val="00662685"/>
    <w:rPr>
      <w:rFonts w:eastAsia="Calibri" w:cs="Calibri"/>
      <w:b/>
      <w:bCs/>
      <w:sz w:val="20"/>
      <w:szCs w:val="20"/>
      <w:lang w:val="en-GB" w:eastAsia="fr-CH"/>
    </w:rPr>
  </w:style>
  <w:style w:type="paragraph" w:styleId="Ondertitel">
    <w:name w:val="Subtitle"/>
    <w:basedOn w:val="Standaard"/>
    <w:next w:val="Standaard"/>
    <w:link w:val="OndertitelChar"/>
    <w:uiPriority w:val="11"/>
    <w:qFormat/>
    <w:rsid w:val="00662685"/>
    <w:pPr>
      <w:keepNext/>
      <w:keepLines/>
      <w:spacing w:before="360" w:after="80" w:line="276" w:lineRule="auto"/>
    </w:pPr>
    <w:rPr>
      <w:rFonts w:ascii="Georgia" w:eastAsia="Georgia" w:hAnsi="Georgia" w:cs="Georgia"/>
      <w:i/>
      <w:color w:val="666666"/>
      <w:sz w:val="48"/>
      <w:szCs w:val="48"/>
      <w:lang w:val="en-GB" w:eastAsia="fr-CH"/>
    </w:rPr>
  </w:style>
  <w:style w:type="character" w:customStyle="1" w:styleId="OndertitelChar">
    <w:name w:val="Ondertitel Char"/>
    <w:basedOn w:val="Standaardalinea-lettertype"/>
    <w:link w:val="Ondertitel"/>
    <w:uiPriority w:val="11"/>
    <w:rsid w:val="00662685"/>
    <w:rPr>
      <w:rFonts w:ascii="Georgia" w:eastAsia="Georgia" w:hAnsi="Georgia" w:cs="Georgia"/>
      <w:i/>
      <w:color w:val="666666"/>
      <w:sz w:val="48"/>
      <w:szCs w:val="48"/>
      <w:lang w:val="en-GB" w:eastAsia="fr-CH"/>
    </w:rPr>
  </w:style>
  <w:style w:type="paragraph" w:styleId="Kopvaninhoudsopgave">
    <w:name w:val="TOC Heading"/>
    <w:basedOn w:val="Kop1"/>
    <w:next w:val="Standaard"/>
    <w:uiPriority w:val="39"/>
    <w:unhideWhenUsed/>
    <w:qFormat/>
    <w:rsid w:val="00662685"/>
    <w:pPr>
      <w:spacing w:line="276" w:lineRule="auto"/>
      <w:jc w:val="left"/>
      <w:outlineLvl w:val="9"/>
    </w:pPr>
    <w:rPr>
      <w:b w:val="0"/>
      <w:color w:val="2F5496" w:themeColor="accent1" w:themeShade="BF"/>
      <w:lang w:eastAsia="fr-CH"/>
    </w:rPr>
  </w:style>
  <w:style w:type="paragraph" w:styleId="Inhopg3">
    <w:name w:val="toc 3"/>
    <w:basedOn w:val="Standaard"/>
    <w:next w:val="Standaard"/>
    <w:autoRedefine/>
    <w:uiPriority w:val="39"/>
    <w:unhideWhenUsed/>
    <w:rsid w:val="00662685"/>
    <w:pPr>
      <w:spacing w:after="100" w:line="276" w:lineRule="auto"/>
      <w:ind w:left="420"/>
    </w:pPr>
    <w:rPr>
      <w:rFonts w:eastAsia="Calibri" w:cs="Calibri"/>
      <w:lang w:val="en-GB" w:eastAsia="fr-CH"/>
    </w:rPr>
  </w:style>
  <w:style w:type="paragraph" w:styleId="Inhopg4">
    <w:name w:val="toc 4"/>
    <w:basedOn w:val="Standaard"/>
    <w:next w:val="Standaard"/>
    <w:autoRedefine/>
    <w:uiPriority w:val="39"/>
    <w:unhideWhenUsed/>
    <w:rsid w:val="00662685"/>
    <w:pPr>
      <w:spacing w:after="100" w:line="276" w:lineRule="auto"/>
      <w:ind w:left="630"/>
    </w:pPr>
    <w:rPr>
      <w:rFonts w:eastAsia="Calibri" w:cs="Calibri"/>
      <w:lang w:val="en-GB" w:eastAsia="fr-CH"/>
    </w:rPr>
  </w:style>
  <w:style w:type="paragraph" w:styleId="Inhopg1">
    <w:name w:val="toc 1"/>
    <w:basedOn w:val="Standaard"/>
    <w:next w:val="Standaard"/>
    <w:autoRedefine/>
    <w:uiPriority w:val="39"/>
    <w:semiHidden/>
    <w:unhideWhenUsed/>
    <w:rsid w:val="00662685"/>
    <w:pPr>
      <w:spacing w:after="100" w:line="276" w:lineRule="auto"/>
    </w:pPr>
    <w:rPr>
      <w:rFonts w:eastAsia="Calibri" w:cs="Calibri"/>
      <w:lang w:val="en-GB" w:eastAsia="fr-CH"/>
    </w:rPr>
  </w:style>
  <w:style w:type="paragraph" w:styleId="Inhopg5">
    <w:name w:val="toc 5"/>
    <w:basedOn w:val="Standaard"/>
    <w:next w:val="Standaard"/>
    <w:autoRedefine/>
    <w:uiPriority w:val="39"/>
    <w:unhideWhenUsed/>
    <w:rsid w:val="00662685"/>
    <w:pPr>
      <w:spacing w:after="100" w:line="276" w:lineRule="auto"/>
      <w:ind w:left="840"/>
    </w:pPr>
    <w:rPr>
      <w:rFonts w:eastAsia="Calibri" w:cs="Calibri"/>
      <w:lang w:val="en-GB" w:eastAsia="fr-CH"/>
    </w:rPr>
  </w:style>
  <w:style w:type="paragraph" w:styleId="Voetnoottekst">
    <w:name w:val="footnote text"/>
    <w:basedOn w:val="Standaard"/>
    <w:link w:val="VoetnoottekstChar"/>
    <w:unhideWhenUsed/>
    <w:rsid w:val="00662685"/>
    <w:pPr>
      <w:spacing w:after="0"/>
    </w:pPr>
    <w:rPr>
      <w:rFonts w:eastAsia="Calibri" w:cs="Calibri"/>
      <w:sz w:val="20"/>
      <w:szCs w:val="20"/>
      <w:lang w:val="en-GB" w:eastAsia="fr-CH"/>
    </w:rPr>
  </w:style>
  <w:style w:type="character" w:customStyle="1" w:styleId="VoetnoottekstChar">
    <w:name w:val="Voetnoottekst Char"/>
    <w:basedOn w:val="Standaardalinea-lettertype"/>
    <w:link w:val="Voetnoottekst"/>
    <w:rsid w:val="00662685"/>
    <w:rPr>
      <w:rFonts w:eastAsia="Calibri" w:cs="Calibri"/>
      <w:sz w:val="20"/>
      <w:szCs w:val="20"/>
      <w:lang w:val="en-GB" w:eastAsia="fr-CH"/>
    </w:rPr>
  </w:style>
  <w:style w:type="character" w:styleId="Voetnootmarkering">
    <w:name w:val="footnote reference"/>
    <w:basedOn w:val="Standaardalinea-lettertype"/>
    <w:unhideWhenUsed/>
    <w:rsid w:val="00662685"/>
    <w:rPr>
      <w:vertAlign w:val="superscript"/>
    </w:rPr>
  </w:style>
  <w:style w:type="paragraph" w:styleId="Revisie">
    <w:name w:val="Revision"/>
    <w:hidden/>
    <w:semiHidden/>
    <w:rsid w:val="00662685"/>
    <w:pPr>
      <w:spacing w:after="0" w:line="240" w:lineRule="auto"/>
    </w:pPr>
    <w:rPr>
      <w:rFonts w:ascii="Calibri" w:eastAsia="Calibri" w:hAnsi="Calibri" w:cs="Calibri"/>
      <w:lang w:val="en-GB" w:eastAsia="fr-CH"/>
    </w:rPr>
  </w:style>
  <w:style w:type="paragraph" w:customStyle="1" w:styleId="Default">
    <w:name w:val="Default"/>
    <w:rsid w:val="00662685"/>
    <w:pPr>
      <w:autoSpaceDE w:val="0"/>
      <w:autoSpaceDN w:val="0"/>
      <w:adjustRightInd w:val="0"/>
      <w:spacing w:after="0" w:line="240" w:lineRule="auto"/>
    </w:pPr>
    <w:rPr>
      <w:rFonts w:ascii="Calibri" w:eastAsia="Calibri" w:hAnsi="Calibri" w:cs="Calibri"/>
      <w:color w:val="000000"/>
      <w:sz w:val="24"/>
      <w:szCs w:val="24"/>
      <w:lang w:val="nl-BE" w:eastAsia="fr-CH"/>
    </w:rPr>
  </w:style>
  <w:style w:type="paragraph" w:styleId="Bijschrift">
    <w:name w:val="caption"/>
    <w:basedOn w:val="Standaard"/>
    <w:next w:val="Standaard"/>
    <w:uiPriority w:val="35"/>
    <w:unhideWhenUsed/>
    <w:qFormat/>
    <w:rsid w:val="00662685"/>
    <w:pPr>
      <w:spacing w:after="200"/>
    </w:pPr>
    <w:rPr>
      <w:rFonts w:eastAsia="Calibri" w:cs="Calibri"/>
      <w:i/>
      <w:iCs/>
      <w:color w:val="44546A" w:themeColor="text2"/>
      <w:sz w:val="18"/>
      <w:szCs w:val="18"/>
      <w:lang w:val="en-GB" w:eastAsia="fr-CH"/>
    </w:rPr>
  </w:style>
  <w:style w:type="character" w:customStyle="1" w:styleId="apple-converted-space">
    <w:name w:val="apple-converted-space"/>
    <w:basedOn w:val="Standaardalinea-lettertype"/>
    <w:rsid w:val="00662685"/>
  </w:style>
  <w:style w:type="paragraph" w:styleId="Lijstmetafbeeldingen">
    <w:name w:val="table of figures"/>
    <w:basedOn w:val="Standaard"/>
    <w:next w:val="Standaard"/>
    <w:uiPriority w:val="99"/>
    <w:unhideWhenUsed/>
    <w:rsid w:val="00662685"/>
    <w:pPr>
      <w:spacing w:after="0" w:line="276" w:lineRule="auto"/>
    </w:pPr>
    <w:rPr>
      <w:rFonts w:eastAsia="Calibri" w:cs="Calibri"/>
      <w:lang w:val="en-GB" w:eastAsia="fr-CH"/>
    </w:rPr>
  </w:style>
  <w:style w:type="character" w:customStyle="1" w:styleId="ms-breadcrumb-item">
    <w:name w:val="ms-breadcrumb-item"/>
    <w:basedOn w:val="Standaardalinea-lettertype"/>
    <w:rsid w:val="00662685"/>
  </w:style>
  <w:style w:type="paragraph" w:styleId="Inhopg2">
    <w:name w:val="toc 2"/>
    <w:basedOn w:val="Standaard"/>
    <w:next w:val="Standaard"/>
    <w:autoRedefine/>
    <w:uiPriority w:val="39"/>
    <w:unhideWhenUsed/>
    <w:rsid w:val="005D056D"/>
    <w:pPr>
      <w:spacing w:after="100"/>
      <w:ind w:left="220"/>
    </w:pPr>
  </w:style>
  <w:style w:type="character" w:customStyle="1" w:styleId="Kop7Char">
    <w:name w:val="Kop 7 Char"/>
    <w:basedOn w:val="Standaardalinea-lettertype"/>
    <w:link w:val="Kop7"/>
    <w:uiPriority w:val="9"/>
    <w:semiHidden/>
    <w:rsid w:val="002067DD"/>
    <w:rPr>
      <w:rFonts w:asciiTheme="majorHAnsi" w:eastAsiaTheme="majorEastAsia" w:hAnsiTheme="majorHAnsi" w:cstheme="majorBidi"/>
      <w:i/>
      <w:iCs/>
      <w:color w:val="1F3763" w:themeColor="accent1" w:themeShade="7F"/>
    </w:rPr>
  </w:style>
  <w:style w:type="paragraph" w:styleId="Bibliografie">
    <w:name w:val="Bibliography"/>
    <w:basedOn w:val="Standaard"/>
    <w:next w:val="Standaard"/>
    <w:unhideWhenUsed/>
    <w:rsid w:val="00251F88"/>
    <w:pPr>
      <w:spacing w:after="0" w:line="480" w:lineRule="auto"/>
      <w:ind w:left="720" w:hanging="720"/>
    </w:pPr>
  </w:style>
  <w:style w:type="character" w:customStyle="1" w:styleId="Kop8Char">
    <w:name w:val="Kop 8 Char"/>
    <w:basedOn w:val="Standaardalinea-lettertype"/>
    <w:link w:val="Kop8"/>
    <w:uiPriority w:val="9"/>
    <w:semiHidden/>
    <w:rsid w:val="00CC5602"/>
    <w:rPr>
      <w:rFonts w:eastAsiaTheme="majorEastAsia" w:cstheme="majorBidi"/>
      <w:i/>
      <w:iCs/>
      <w:color w:val="272727" w:themeColor="text1" w:themeTint="D8"/>
      <w:kern w:val="2"/>
      <w:sz w:val="24"/>
      <w:szCs w:val="24"/>
      <w:lang w:val="en-US"/>
      <w14:ligatures w14:val="standardContextual"/>
    </w:rPr>
  </w:style>
  <w:style w:type="character" w:customStyle="1" w:styleId="Kop9Char">
    <w:name w:val="Kop 9 Char"/>
    <w:basedOn w:val="Standaardalinea-lettertype"/>
    <w:link w:val="Kop9"/>
    <w:uiPriority w:val="9"/>
    <w:semiHidden/>
    <w:rsid w:val="00CC5602"/>
    <w:rPr>
      <w:rFonts w:eastAsiaTheme="majorEastAsia" w:cstheme="majorBidi"/>
      <w:color w:val="272727" w:themeColor="text1" w:themeTint="D8"/>
      <w:kern w:val="2"/>
      <w:sz w:val="24"/>
      <w:szCs w:val="24"/>
      <w:lang w:val="en-US"/>
      <w14:ligatures w14:val="standardContextual"/>
    </w:rPr>
  </w:style>
  <w:style w:type="paragraph" w:styleId="Citaat">
    <w:name w:val="Quote"/>
    <w:basedOn w:val="Standaard"/>
    <w:next w:val="Standaard"/>
    <w:link w:val="CitaatChar"/>
    <w:uiPriority w:val="29"/>
    <w:qFormat/>
    <w:rsid w:val="00CC5602"/>
    <w:pPr>
      <w:spacing w:before="160" w:line="278" w:lineRule="auto"/>
      <w:jc w:val="center"/>
    </w:pPr>
    <w:rPr>
      <w:i/>
      <w:iCs/>
      <w:color w:val="404040" w:themeColor="text1" w:themeTint="BF"/>
      <w:kern w:val="2"/>
      <w:sz w:val="24"/>
      <w:szCs w:val="24"/>
      <w:lang w:val="en-US"/>
      <w14:ligatures w14:val="standardContextual"/>
    </w:rPr>
  </w:style>
  <w:style w:type="character" w:customStyle="1" w:styleId="CitaatChar">
    <w:name w:val="Citaat Char"/>
    <w:basedOn w:val="Standaardalinea-lettertype"/>
    <w:link w:val="Citaat"/>
    <w:uiPriority w:val="29"/>
    <w:rsid w:val="00CC5602"/>
    <w:rPr>
      <w:i/>
      <w:iCs/>
      <w:color w:val="404040" w:themeColor="text1" w:themeTint="BF"/>
      <w:kern w:val="2"/>
      <w:sz w:val="24"/>
      <w:szCs w:val="24"/>
      <w:lang w:val="en-US"/>
      <w14:ligatures w14:val="standardContextual"/>
    </w:rPr>
  </w:style>
  <w:style w:type="character" w:styleId="Intensievebenadrukking">
    <w:name w:val="Intense Emphasis"/>
    <w:basedOn w:val="Standaardalinea-lettertype"/>
    <w:uiPriority w:val="21"/>
    <w:qFormat/>
    <w:rsid w:val="00CC5602"/>
    <w:rPr>
      <w:i/>
      <w:iCs/>
      <w:color w:val="2F5496" w:themeColor="accent1" w:themeShade="BF"/>
    </w:rPr>
  </w:style>
  <w:style w:type="paragraph" w:styleId="Duidelijkcitaat">
    <w:name w:val="Intense Quote"/>
    <w:basedOn w:val="Standaard"/>
    <w:next w:val="Standaard"/>
    <w:link w:val="DuidelijkcitaatChar"/>
    <w:uiPriority w:val="30"/>
    <w:qFormat/>
    <w:rsid w:val="00CC5602"/>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lang w:val="en-US"/>
      <w14:ligatures w14:val="standardContextual"/>
    </w:rPr>
  </w:style>
  <w:style w:type="character" w:customStyle="1" w:styleId="DuidelijkcitaatChar">
    <w:name w:val="Duidelijk citaat Char"/>
    <w:basedOn w:val="Standaardalinea-lettertype"/>
    <w:link w:val="Duidelijkcitaat"/>
    <w:uiPriority w:val="30"/>
    <w:rsid w:val="00CC5602"/>
    <w:rPr>
      <w:i/>
      <w:iCs/>
      <w:color w:val="2F5496" w:themeColor="accent1" w:themeShade="BF"/>
      <w:kern w:val="2"/>
      <w:sz w:val="24"/>
      <w:szCs w:val="24"/>
      <w:lang w:val="en-US"/>
      <w14:ligatures w14:val="standardContextual"/>
    </w:rPr>
  </w:style>
  <w:style w:type="character" w:styleId="Intensieveverwijzing">
    <w:name w:val="Intense Reference"/>
    <w:basedOn w:val="Standaardalinea-lettertype"/>
    <w:uiPriority w:val="32"/>
    <w:qFormat/>
    <w:rsid w:val="00CC5602"/>
    <w:rPr>
      <w:b/>
      <w:bCs/>
      <w:smallCaps/>
      <w:color w:val="2F5496" w:themeColor="accent1" w:themeShade="BF"/>
      <w:spacing w:val="5"/>
    </w:rPr>
  </w:style>
  <w:style w:type="numbering" w:customStyle="1" w:styleId="Geenlijst1">
    <w:name w:val="Geen lijst1"/>
    <w:next w:val="Geenlijst"/>
    <w:uiPriority w:val="99"/>
    <w:semiHidden/>
    <w:unhideWhenUsed/>
    <w:rsid w:val="00CC5602"/>
  </w:style>
  <w:style w:type="paragraph" w:customStyle="1" w:styleId="Articletitle">
    <w:name w:val="Article title"/>
    <w:basedOn w:val="Standaard"/>
    <w:next w:val="Standaard"/>
    <w:qFormat/>
    <w:rsid w:val="00CC5602"/>
    <w:pPr>
      <w:spacing w:after="120" w:line="360" w:lineRule="auto"/>
      <w:jc w:val="left"/>
    </w:pPr>
    <w:rPr>
      <w:rFonts w:ascii="Times New Roman" w:eastAsia="Times New Roman" w:hAnsi="Times New Roman" w:cs="Times New Roman"/>
      <w:b/>
      <w:sz w:val="28"/>
      <w:szCs w:val="24"/>
      <w:lang w:val="en-GB" w:eastAsia="en-GB"/>
    </w:rPr>
  </w:style>
  <w:style w:type="paragraph" w:customStyle="1" w:styleId="Authornames">
    <w:name w:val="Author names"/>
    <w:basedOn w:val="Standaard"/>
    <w:next w:val="Standaard"/>
    <w:qFormat/>
    <w:rsid w:val="00CC5602"/>
    <w:pPr>
      <w:spacing w:before="240" w:after="0" w:line="360" w:lineRule="auto"/>
      <w:jc w:val="left"/>
    </w:pPr>
    <w:rPr>
      <w:rFonts w:ascii="Times New Roman" w:eastAsia="Times New Roman" w:hAnsi="Times New Roman" w:cs="Times New Roman"/>
      <w:sz w:val="28"/>
      <w:szCs w:val="24"/>
      <w:lang w:val="en-GB" w:eastAsia="en-GB"/>
    </w:rPr>
  </w:style>
  <w:style w:type="paragraph" w:customStyle="1" w:styleId="Affiliation">
    <w:name w:val="Affiliation"/>
    <w:basedOn w:val="Standaard"/>
    <w:qFormat/>
    <w:rsid w:val="00CC5602"/>
    <w:pPr>
      <w:spacing w:before="240" w:after="0" w:line="360" w:lineRule="auto"/>
      <w:jc w:val="left"/>
    </w:pPr>
    <w:rPr>
      <w:rFonts w:ascii="Times New Roman" w:eastAsia="Times New Roman" w:hAnsi="Times New Roman" w:cs="Times New Roman"/>
      <w:i/>
      <w:sz w:val="24"/>
      <w:szCs w:val="24"/>
      <w:lang w:val="en-GB" w:eastAsia="en-GB"/>
    </w:rPr>
  </w:style>
  <w:style w:type="paragraph" w:customStyle="1" w:styleId="Receiveddates">
    <w:name w:val="Received dates"/>
    <w:basedOn w:val="Affiliation"/>
    <w:next w:val="Standaard"/>
    <w:qFormat/>
    <w:rsid w:val="00CC5602"/>
  </w:style>
  <w:style w:type="paragraph" w:customStyle="1" w:styleId="Abstract">
    <w:name w:val="Abstract"/>
    <w:basedOn w:val="Standaard"/>
    <w:next w:val="Keywords"/>
    <w:qFormat/>
    <w:rsid w:val="00CC5602"/>
    <w:pPr>
      <w:spacing w:before="360" w:after="300" w:line="360" w:lineRule="auto"/>
      <w:ind w:left="720" w:right="567"/>
      <w:jc w:val="left"/>
    </w:pPr>
    <w:rPr>
      <w:rFonts w:ascii="Times New Roman" w:eastAsia="Times New Roman" w:hAnsi="Times New Roman" w:cs="Times New Roman"/>
      <w:szCs w:val="24"/>
      <w:lang w:val="en-GB" w:eastAsia="en-GB"/>
    </w:rPr>
  </w:style>
  <w:style w:type="paragraph" w:customStyle="1" w:styleId="Keywords">
    <w:name w:val="Keywords"/>
    <w:basedOn w:val="Standaard"/>
    <w:next w:val="Paragraph"/>
    <w:qFormat/>
    <w:rsid w:val="00CC5602"/>
    <w:pPr>
      <w:spacing w:before="240" w:after="240" w:line="360" w:lineRule="auto"/>
      <w:ind w:left="720" w:right="567"/>
      <w:jc w:val="left"/>
    </w:pPr>
    <w:rPr>
      <w:rFonts w:ascii="Times New Roman" w:eastAsia="Times New Roman" w:hAnsi="Times New Roman" w:cs="Times New Roman"/>
      <w:szCs w:val="24"/>
      <w:lang w:val="en-GB" w:eastAsia="en-GB"/>
    </w:rPr>
  </w:style>
  <w:style w:type="paragraph" w:customStyle="1" w:styleId="Correspondencedetails">
    <w:name w:val="Correspondence details"/>
    <w:basedOn w:val="Standaard"/>
    <w:qFormat/>
    <w:rsid w:val="00CC5602"/>
    <w:pPr>
      <w:spacing w:before="240" w:after="0" w:line="360" w:lineRule="auto"/>
      <w:jc w:val="left"/>
    </w:pPr>
    <w:rPr>
      <w:rFonts w:ascii="Times New Roman" w:eastAsia="Times New Roman" w:hAnsi="Times New Roman" w:cs="Times New Roman"/>
      <w:sz w:val="24"/>
      <w:szCs w:val="24"/>
      <w:lang w:val="en-GB" w:eastAsia="en-GB"/>
    </w:rPr>
  </w:style>
  <w:style w:type="paragraph" w:customStyle="1" w:styleId="Displayedquotation">
    <w:name w:val="Displayed quotation"/>
    <w:basedOn w:val="Standaard"/>
    <w:qFormat/>
    <w:rsid w:val="00CC5602"/>
    <w:pPr>
      <w:tabs>
        <w:tab w:val="left" w:pos="1077"/>
        <w:tab w:val="left" w:pos="1440"/>
        <w:tab w:val="left" w:pos="1797"/>
        <w:tab w:val="left" w:pos="2155"/>
        <w:tab w:val="left" w:pos="2512"/>
      </w:tabs>
      <w:spacing w:before="240" w:after="360" w:line="360" w:lineRule="auto"/>
      <w:ind w:left="709" w:right="425"/>
      <w:contextualSpacing/>
      <w:jc w:val="left"/>
    </w:pPr>
    <w:rPr>
      <w:rFonts w:ascii="Times New Roman" w:eastAsia="Times New Roman" w:hAnsi="Times New Roman" w:cs="Times New Roman"/>
      <w:szCs w:val="24"/>
      <w:lang w:val="en-GB" w:eastAsia="en-GB"/>
    </w:rPr>
  </w:style>
  <w:style w:type="paragraph" w:customStyle="1" w:styleId="Numberedlist">
    <w:name w:val="Numbered list"/>
    <w:basedOn w:val="Paragraph"/>
    <w:next w:val="Paragraph"/>
    <w:qFormat/>
    <w:rsid w:val="00CC5602"/>
    <w:pPr>
      <w:widowControl/>
      <w:numPr>
        <w:numId w:val="5"/>
      </w:numPr>
      <w:spacing w:after="240"/>
      <w:contextualSpacing/>
    </w:pPr>
  </w:style>
  <w:style w:type="paragraph" w:customStyle="1" w:styleId="Displayedequation">
    <w:name w:val="Displayed equation"/>
    <w:basedOn w:val="Standaard"/>
    <w:next w:val="Paragraph"/>
    <w:qFormat/>
    <w:rsid w:val="00CC5602"/>
    <w:pPr>
      <w:tabs>
        <w:tab w:val="center" w:pos="4253"/>
        <w:tab w:val="right" w:pos="8222"/>
      </w:tabs>
      <w:spacing w:before="240" w:after="240" w:line="480" w:lineRule="auto"/>
      <w:jc w:val="center"/>
    </w:pPr>
    <w:rPr>
      <w:rFonts w:ascii="Times New Roman" w:eastAsia="Times New Roman" w:hAnsi="Times New Roman" w:cs="Times New Roman"/>
      <w:sz w:val="24"/>
      <w:szCs w:val="24"/>
      <w:lang w:val="en-GB" w:eastAsia="en-GB"/>
    </w:rPr>
  </w:style>
  <w:style w:type="paragraph" w:customStyle="1" w:styleId="Acknowledgements">
    <w:name w:val="Acknowledgements"/>
    <w:basedOn w:val="Standaard"/>
    <w:next w:val="Standaard"/>
    <w:qFormat/>
    <w:rsid w:val="00CC5602"/>
    <w:pPr>
      <w:spacing w:before="120" w:after="0" w:line="360" w:lineRule="auto"/>
      <w:jc w:val="left"/>
    </w:pPr>
    <w:rPr>
      <w:rFonts w:ascii="Times New Roman" w:eastAsia="Times New Roman" w:hAnsi="Times New Roman" w:cs="Times New Roman"/>
      <w:szCs w:val="24"/>
      <w:lang w:val="en-GB" w:eastAsia="en-GB"/>
    </w:rPr>
  </w:style>
  <w:style w:type="paragraph" w:customStyle="1" w:styleId="Tabletitle">
    <w:name w:val="Table title"/>
    <w:basedOn w:val="Standaard"/>
    <w:next w:val="Standaard"/>
    <w:qFormat/>
    <w:rsid w:val="00CC5602"/>
    <w:pPr>
      <w:spacing w:before="240" w:after="0" w:line="360" w:lineRule="auto"/>
      <w:jc w:val="left"/>
    </w:pPr>
    <w:rPr>
      <w:rFonts w:ascii="Times New Roman" w:eastAsia="Times New Roman" w:hAnsi="Times New Roman" w:cs="Times New Roman"/>
      <w:sz w:val="24"/>
      <w:szCs w:val="24"/>
      <w:lang w:val="en-GB" w:eastAsia="en-GB"/>
    </w:rPr>
  </w:style>
  <w:style w:type="paragraph" w:customStyle="1" w:styleId="Figurecaption">
    <w:name w:val="Figure caption"/>
    <w:basedOn w:val="Standaard"/>
    <w:next w:val="Standaard"/>
    <w:qFormat/>
    <w:rsid w:val="00CC5602"/>
    <w:pPr>
      <w:spacing w:before="240" w:after="0" w:line="360" w:lineRule="auto"/>
      <w:jc w:val="left"/>
    </w:pPr>
    <w:rPr>
      <w:rFonts w:ascii="Times New Roman" w:eastAsia="Times New Roman" w:hAnsi="Times New Roman" w:cs="Times New Roman"/>
      <w:sz w:val="24"/>
      <w:szCs w:val="24"/>
      <w:lang w:val="en-GB" w:eastAsia="en-GB"/>
    </w:rPr>
  </w:style>
  <w:style w:type="paragraph" w:customStyle="1" w:styleId="Footnotes">
    <w:name w:val="Footnotes"/>
    <w:basedOn w:val="Standaard"/>
    <w:qFormat/>
    <w:rsid w:val="00CC5602"/>
    <w:pPr>
      <w:spacing w:before="120" w:after="0" w:line="360" w:lineRule="auto"/>
      <w:ind w:left="482" w:hanging="482"/>
      <w:contextualSpacing/>
      <w:jc w:val="left"/>
    </w:pPr>
    <w:rPr>
      <w:rFonts w:ascii="Times New Roman" w:eastAsia="Times New Roman" w:hAnsi="Times New Roman" w:cs="Times New Roman"/>
      <w:szCs w:val="24"/>
      <w:lang w:val="en-GB" w:eastAsia="en-GB"/>
    </w:rPr>
  </w:style>
  <w:style w:type="paragraph" w:customStyle="1" w:styleId="Notesoncontributors">
    <w:name w:val="Notes on contributors"/>
    <w:basedOn w:val="Standaard"/>
    <w:qFormat/>
    <w:rsid w:val="00CC5602"/>
    <w:pPr>
      <w:spacing w:before="240" w:after="0" w:line="360" w:lineRule="auto"/>
      <w:jc w:val="left"/>
    </w:pPr>
    <w:rPr>
      <w:rFonts w:ascii="Times New Roman" w:eastAsia="Times New Roman" w:hAnsi="Times New Roman" w:cs="Times New Roman"/>
      <w:szCs w:val="24"/>
      <w:lang w:val="en-GB" w:eastAsia="en-GB"/>
    </w:rPr>
  </w:style>
  <w:style w:type="paragraph" w:customStyle="1" w:styleId="Normalparagraphstyle">
    <w:name w:val="Normal paragraph style"/>
    <w:basedOn w:val="Standaard"/>
    <w:next w:val="Standaard"/>
    <w:rsid w:val="00CC5602"/>
    <w:pPr>
      <w:spacing w:after="0" w:line="480" w:lineRule="auto"/>
      <w:jc w:val="left"/>
    </w:pPr>
    <w:rPr>
      <w:rFonts w:ascii="Times New Roman" w:eastAsia="Times New Roman" w:hAnsi="Times New Roman" w:cs="Times New Roman"/>
      <w:sz w:val="24"/>
      <w:szCs w:val="24"/>
      <w:lang w:val="en-GB" w:eastAsia="en-GB"/>
    </w:rPr>
  </w:style>
  <w:style w:type="paragraph" w:customStyle="1" w:styleId="Paragraph">
    <w:name w:val="Paragraph"/>
    <w:basedOn w:val="Standaard"/>
    <w:next w:val="Newparagraph"/>
    <w:qFormat/>
    <w:rsid w:val="00CC5602"/>
    <w:pPr>
      <w:widowControl w:val="0"/>
      <w:spacing w:before="240" w:after="0" w:line="480" w:lineRule="auto"/>
      <w:jc w:val="left"/>
    </w:pPr>
    <w:rPr>
      <w:rFonts w:ascii="Times New Roman" w:eastAsia="Times New Roman" w:hAnsi="Times New Roman" w:cs="Times New Roman"/>
      <w:sz w:val="24"/>
      <w:szCs w:val="24"/>
      <w:lang w:val="en-GB" w:eastAsia="en-GB"/>
    </w:rPr>
  </w:style>
  <w:style w:type="paragraph" w:customStyle="1" w:styleId="Newparagraph">
    <w:name w:val="New paragraph"/>
    <w:basedOn w:val="Standaard"/>
    <w:qFormat/>
    <w:rsid w:val="00CC5602"/>
    <w:pPr>
      <w:spacing w:after="0" w:line="480" w:lineRule="auto"/>
      <w:ind w:firstLine="720"/>
      <w:jc w:val="left"/>
    </w:pPr>
    <w:rPr>
      <w:rFonts w:ascii="Times New Roman" w:eastAsia="Times New Roman" w:hAnsi="Times New Roman" w:cs="Times New Roman"/>
      <w:sz w:val="24"/>
      <w:szCs w:val="24"/>
      <w:lang w:val="en-GB" w:eastAsia="en-GB"/>
    </w:rPr>
  </w:style>
  <w:style w:type="paragraph" w:styleId="Standaardinspringing">
    <w:name w:val="Normal Indent"/>
    <w:basedOn w:val="Standaard"/>
    <w:rsid w:val="00CC5602"/>
    <w:pPr>
      <w:spacing w:after="0" w:line="480" w:lineRule="auto"/>
      <w:ind w:left="720"/>
      <w:jc w:val="left"/>
    </w:pPr>
    <w:rPr>
      <w:rFonts w:ascii="Times New Roman" w:eastAsia="Times New Roman" w:hAnsi="Times New Roman" w:cs="Times New Roman"/>
      <w:sz w:val="24"/>
      <w:szCs w:val="24"/>
      <w:lang w:val="en-GB" w:eastAsia="en-GB"/>
    </w:rPr>
  </w:style>
  <w:style w:type="paragraph" w:customStyle="1" w:styleId="References">
    <w:name w:val="References"/>
    <w:basedOn w:val="Standaard"/>
    <w:qFormat/>
    <w:rsid w:val="00CC5602"/>
    <w:pPr>
      <w:spacing w:before="120" w:after="0" w:line="360" w:lineRule="auto"/>
      <w:ind w:left="720" w:hanging="720"/>
      <w:contextualSpacing/>
      <w:jc w:val="left"/>
    </w:pPr>
    <w:rPr>
      <w:rFonts w:ascii="Times New Roman" w:eastAsia="Times New Roman" w:hAnsi="Times New Roman" w:cs="Times New Roman"/>
      <w:sz w:val="24"/>
      <w:szCs w:val="24"/>
      <w:lang w:val="en-GB" w:eastAsia="en-GB"/>
    </w:rPr>
  </w:style>
  <w:style w:type="paragraph" w:customStyle="1" w:styleId="Subjectcodes">
    <w:name w:val="Subject codes"/>
    <w:basedOn w:val="Keywords"/>
    <w:next w:val="Paragraph"/>
    <w:qFormat/>
    <w:rsid w:val="00CC5602"/>
  </w:style>
  <w:style w:type="paragraph" w:customStyle="1" w:styleId="Bulletedlist">
    <w:name w:val="Bulleted list"/>
    <w:basedOn w:val="Paragraph"/>
    <w:next w:val="Paragraph"/>
    <w:qFormat/>
    <w:rsid w:val="00CC5602"/>
    <w:pPr>
      <w:widowControl/>
      <w:numPr>
        <w:numId w:val="6"/>
      </w:numPr>
      <w:spacing w:after="240"/>
      <w:contextualSpacing/>
    </w:pPr>
  </w:style>
  <w:style w:type="paragraph" w:styleId="Eindnoottekst">
    <w:name w:val="endnote text"/>
    <w:basedOn w:val="Standaard"/>
    <w:link w:val="EindnoottekstChar"/>
    <w:autoRedefine/>
    <w:rsid w:val="00CC5602"/>
    <w:pPr>
      <w:spacing w:after="0" w:line="480" w:lineRule="auto"/>
      <w:ind w:left="284" w:hanging="284"/>
      <w:jc w:val="left"/>
    </w:pPr>
    <w:rPr>
      <w:rFonts w:ascii="Times New Roman" w:eastAsia="Times New Roman" w:hAnsi="Times New Roman" w:cs="Times New Roman"/>
      <w:szCs w:val="20"/>
      <w:lang w:val="en-GB" w:eastAsia="en-GB"/>
    </w:rPr>
  </w:style>
  <w:style w:type="character" w:customStyle="1" w:styleId="EindnoottekstChar">
    <w:name w:val="Eindnoottekst Char"/>
    <w:basedOn w:val="Standaardalinea-lettertype"/>
    <w:link w:val="Eindnoottekst"/>
    <w:rsid w:val="00CC5602"/>
    <w:rPr>
      <w:rFonts w:ascii="Times New Roman" w:eastAsia="Times New Roman" w:hAnsi="Times New Roman" w:cs="Times New Roman"/>
      <w:szCs w:val="20"/>
      <w:lang w:val="en-GB" w:eastAsia="en-GB"/>
    </w:rPr>
  </w:style>
  <w:style w:type="character" w:styleId="Eindnootmarkering">
    <w:name w:val="endnote reference"/>
    <w:basedOn w:val="Standaardalinea-lettertype"/>
    <w:rsid w:val="00CC5602"/>
    <w:rPr>
      <w:vertAlign w:val="superscript"/>
    </w:rPr>
  </w:style>
  <w:style w:type="paragraph" w:customStyle="1" w:styleId="Heading4Paragraph">
    <w:name w:val="Heading 4 + Paragraph"/>
    <w:basedOn w:val="Paragraph"/>
    <w:next w:val="Newparagraph"/>
    <w:qFormat/>
    <w:rsid w:val="00CC5602"/>
    <w:pPr>
      <w:widowControl/>
      <w:spacing w:before="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246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8111075-5412-445d-a5c2-8d336a43ce7a" xsi:nil="true"/>
    <lcf76f155ced4ddcb4097134ff3c332f xmlns="9a054042-c3b0-48b1-925f-f9193192d5e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3B3DB944BF22A4086D1ADBB66407D6E" ma:contentTypeVersion="15" ma:contentTypeDescription="Create a new document." ma:contentTypeScope="" ma:versionID="f50446fb3ae78562202fa84cd1364813">
  <xsd:schema xmlns:xsd="http://www.w3.org/2001/XMLSchema" xmlns:xs="http://www.w3.org/2001/XMLSchema" xmlns:p="http://schemas.microsoft.com/office/2006/metadata/properties" xmlns:ns2="9a054042-c3b0-48b1-925f-f9193192d5e1" xmlns:ns3="98111075-5412-445d-a5c2-8d336a43ce7a" targetNamespace="http://schemas.microsoft.com/office/2006/metadata/properties" ma:root="true" ma:fieldsID="3cdd12caf1bf7eb367897667bf6b9035" ns2:_="" ns3:_="">
    <xsd:import namespace="9a054042-c3b0-48b1-925f-f9193192d5e1"/>
    <xsd:import namespace="98111075-5412-445d-a5c2-8d336a43ce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a054042-c3b0-48b1-925f-f9193192d5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dd1c77-ecac-4adc-8928-a4b79cad4f0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8111075-5412-445d-a5c2-8d336a43ce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10018f1d-b93b-4986-afef-bac5856e130d}" ma:internalName="TaxCatchAll" ma:showField="CatchAllData" ma:web="98111075-5412-445d-a5c2-8d336a43ce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F6A7A9-39DD-4694-9324-6CAF979937D3}">
  <ds:schemaRefs>
    <ds:schemaRef ds:uri="http://schemas.microsoft.com/office/2006/metadata/properties"/>
    <ds:schemaRef ds:uri="http://schemas.microsoft.com/office/infopath/2007/PartnerControls"/>
    <ds:schemaRef ds:uri="98111075-5412-445d-a5c2-8d336a43ce7a"/>
    <ds:schemaRef ds:uri="9a054042-c3b0-48b1-925f-f9193192d5e1"/>
  </ds:schemaRefs>
</ds:datastoreItem>
</file>

<file path=customXml/itemProps2.xml><?xml version="1.0" encoding="utf-8"?>
<ds:datastoreItem xmlns:ds="http://schemas.openxmlformats.org/officeDocument/2006/customXml" ds:itemID="{57A8EBC2-48B9-41B8-90BD-F856CBB8B532}">
  <ds:schemaRefs>
    <ds:schemaRef ds:uri="http://schemas.microsoft.com/sharepoint/v3/contenttype/forms"/>
  </ds:schemaRefs>
</ds:datastoreItem>
</file>

<file path=customXml/itemProps3.xml><?xml version="1.0" encoding="utf-8"?>
<ds:datastoreItem xmlns:ds="http://schemas.openxmlformats.org/officeDocument/2006/customXml" ds:itemID="{8DA27600-3FEC-4FBA-B8E7-4D443A47BE6E}">
  <ds:schemaRefs>
    <ds:schemaRef ds:uri="http://schemas.openxmlformats.org/officeDocument/2006/bibliography"/>
  </ds:schemaRefs>
</ds:datastoreItem>
</file>

<file path=customXml/itemProps4.xml><?xml version="1.0" encoding="utf-8"?>
<ds:datastoreItem xmlns:ds="http://schemas.openxmlformats.org/officeDocument/2006/customXml" ds:itemID="{B76A450E-A069-4E59-87A7-2A72A85CE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054042-c3b0-48b1-925f-f9193192d5e1"/>
    <ds:schemaRef ds:uri="98111075-5412-445d-a5c2-8d336a43ce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41026</Words>
  <Characters>233851</Characters>
  <Application>Microsoft Office Word</Application>
  <DocSecurity>0</DocSecurity>
  <Lines>1948</Lines>
  <Paragraphs>548</Paragraphs>
  <ScaleCrop>false</ScaleCrop>
  <HeadingPairs>
    <vt:vector size="2" baseType="variant">
      <vt:variant>
        <vt:lpstr>Title</vt:lpstr>
      </vt:variant>
      <vt:variant>
        <vt:i4>1</vt:i4>
      </vt:variant>
    </vt:vector>
  </HeadingPairs>
  <TitlesOfParts>
    <vt:vector size="1" baseType="lpstr">
      <vt:lpstr/>
    </vt:vector>
  </TitlesOfParts>
  <Company>UNIFR</Company>
  <LinksUpToDate>false</LinksUpToDate>
  <CharactersWithSpaces>274329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RICHARDIER Verena</dc:creator>
  <cp:keywords/>
  <dc:description/>
  <cp:lastModifiedBy>Brummel, L. (Lars)</cp:lastModifiedBy>
  <cp:revision>3</cp:revision>
  <dcterms:created xsi:type="dcterms:W3CDTF">2025-09-30T09:56:00Z</dcterms:created>
  <dcterms:modified xsi:type="dcterms:W3CDTF">2025-09-30T09:56:00Z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0x01010013B3DB944BF22A4086D1ADBB66407D6E</vt:lpwstr>
  </property>
  <property fmtid="{D5CDD505-2E9C-101B-9397-08002B2CF9AE}" pid="3" name="MediaServiceImageTags">
    <vt:lpwstr/>
  </property>
  <property fmtid="{D5CDD505-2E9C-101B-9397-08002B2CF9AE}" pid="4" name="ZOTERO_PREF_1">
    <vt:lpwstr>&lt;data data-version="3" zotero-version="6.0.30"&gt;&lt;session id="OHfep3R7"/&gt;&lt;style id="http://www.zotero.org/styles/apa" locale="en-US" hasBibliography="1" bibliographyStyleHasBeenSet="1"/&gt;&lt;prefs&gt;&lt;pref name="fieldType" value="Field"/&gt;&lt;pref name="automaticJourn</vt:lpwstr>
  </property>
  <property fmtid="{D5CDD505-2E9C-101B-9397-08002B2CF9AE}" pid="5" name="ZOTERO_PREF_2">
    <vt:lpwstr>alAbbreviations" value="true"/&gt;&lt;/prefs&gt;&lt;/data&gt;</vt:lpwstr>
  </property>
</Properties>
</file>